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900" w:lineRule="exact"/>
        <w:jc w:val="center"/>
        <w:textAlignment w:val="auto"/>
        <w:rPr>
          <w:rFonts w:hint="default" w:ascii="Times New Roman" w:hAnsi="Times New Roman" w:eastAsia="方正小标宋简体" w:cs="Times New Roman"/>
          <w:kern w:val="0"/>
          <w:sz w:val="64"/>
          <w:szCs w:val="64"/>
        </w:rPr>
      </w:pPr>
      <w:r>
        <w:rPr>
          <w:rFonts w:hint="default" w:ascii="Times New Roman" w:hAnsi="Times New Roman" w:eastAsia="方正小标宋简体" w:cs="Times New Roman"/>
          <w:kern w:val="0"/>
          <w:sz w:val="64"/>
          <w:szCs w:val="64"/>
        </w:rPr>
        <w:t>沂南县人民政府2019年</w:t>
      </w:r>
    </w:p>
    <w:p>
      <w:pPr>
        <w:keepNext w:val="0"/>
        <w:keepLines w:val="0"/>
        <w:pageBreakBefore w:val="0"/>
        <w:widowControl w:val="0"/>
        <w:kinsoku/>
        <w:wordWrap/>
        <w:overflowPunct/>
        <w:topLinePunct w:val="0"/>
        <w:autoSpaceDE w:val="0"/>
        <w:autoSpaceDN w:val="0"/>
        <w:bidi w:val="0"/>
        <w:adjustRightInd w:val="0"/>
        <w:snapToGrid/>
        <w:spacing w:line="900" w:lineRule="exact"/>
        <w:jc w:val="center"/>
        <w:textAlignment w:val="auto"/>
        <w:rPr>
          <w:rFonts w:hint="default" w:ascii="Times New Roman" w:hAnsi="Times New Roman" w:eastAsia="方正小标宋简体" w:cs="Times New Roman"/>
          <w:kern w:val="0"/>
          <w:sz w:val="64"/>
          <w:szCs w:val="64"/>
        </w:rPr>
      </w:pPr>
      <w:r>
        <w:rPr>
          <w:rFonts w:hint="default" w:ascii="Times New Roman" w:hAnsi="Times New Roman" w:eastAsia="方正小标宋简体" w:cs="Times New Roman"/>
          <w:kern w:val="0"/>
          <w:sz w:val="64"/>
          <w:szCs w:val="64"/>
        </w:rPr>
        <w:t>政府信息公开工作年度报告</w:t>
      </w:r>
    </w:p>
    <w:p>
      <w:pPr>
        <w:keepNext w:val="0"/>
        <w:keepLines w:val="0"/>
        <w:pageBreakBefore w:val="0"/>
        <w:widowControl w:val="0"/>
        <w:kinsoku/>
        <w:wordWrap/>
        <w:overflowPunct/>
        <w:topLinePunct w:val="0"/>
        <w:autoSpaceDE w:val="0"/>
        <w:autoSpaceDN w:val="0"/>
        <w:bidi w:val="0"/>
        <w:adjustRightInd w:val="0"/>
        <w:snapToGrid/>
        <w:spacing w:line="800" w:lineRule="exact"/>
        <w:jc w:val="center"/>
        <w:textAlignment w:val="auto"/>
        <w:rPr>
          <w:rFonts w:hint="default" w:ascii="Times New Roman" w:hAnsi="Times New Roman" w:eastAsia="方正小标宋简体" w:cs="Times New Roman"/>
          <w:kern w:val="0"/>
          <w:sz w:val="52"/>
          <w:szCs w:val="52"/>
        </w:rPr>
      </w:pPr>
    </w:p>
    <w:p>
      <w:pPr>
        <w:keepNext w:val="0"/>
        <w:keepLines w:val="0"/>
        <w:pageBreakBefore w:val="0"/>
        <w:kinsoku/>
        <w:wordWrap/>
        <w:overflowPunct/>
        <w:topLinePunct w:val="0"/>
        <w:autoSpaceDE w:val="0"/>
        <w:autoSpaceDN w:val="0"/>
        <w:bidi w:val="0"/>
        <w:adjustRightInd w:val="0"/>
        <w:spacing w:after="313" w:afterLines="100" w:line="600" w:lineRule="exact"/>
        <w:ind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本报告由沂南县人民政府办公室按照《中华人民共和国政府信息公开条例》（以下简称《条例》）、《山东省政府信息公开办法》（以下简称《办法》）和</w:t>
      </w:r>
      <w:r>
        <w:rPr>
          <w:rFonts w:hint="default" w:ascii="Times New Roman" w:hAnsi="Times New Roman" w:eastAsia="文星仿宋" w:cs="Times New Roman"/>
          <w:sz w:val="32"/>
          <w:szCs w:val="32"/>
        </w:rPr>
        <w:t>《政府网站与政务新媒体检查指标》</w:t>
      </w:r>
      <w:r>
        <w:rPr>
          <w:rFonts w:hint="default" w:ascii="Times New Roman" w:hAnsi="Times New Roman" w:eastAsia="仿宋_GB2312" w:cs="Times New Roman"/>
          <w:kern w:val="0"/>
          <w:sz w:val="32"/>
          <w:szCs w:val="32"/>
        </w:rPr>
        <w:t>及有关法律法规的要求，根据全县16个乡镇（街道、开发区）和县政府54个部门的2019年政府信息公开工作年度报告编制，内容主要包括《条例》第五十条规定的内容和《2019年临沂市政务公开工作要点》中要求落实的情况，存在的主要问题、改进情况，以及统计附表、附图等，所列数据的统计期限自2019年1月1日起至2019年12月31日止。</w:t>
      </w:r>
    </w:p>
    <w:p>
      <w:pPr>
        <w:keepNext w:val="0"/>
        <w:keepLines w:val="0"/>
        <w:pageBreakBefore w:val="0"/>
        <w:kinsoku/>
        <w:wordWrap/>
        <w:overflowPunct/>
        <w:topLinePunct w:val="0"/>
        <w:autoSpaceDE w:val="0"/>
        <w:autoSpaceDN w:val="0"/>
        <w:bidi w:val="0"/>
        <w:adjustRightInd w:val="0"/>
        <w:spacing w:after="313" w:afterLines="100" w:line="600" w:lineRule="exact"/>
        <w:ind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本报告电子版已在沂南县人民政府公众信息网公布（http://www.yinan.gov.cn/）公布。如有疑问，请与沂南县</w:t>
      </w:r>
      <w:r>
        <w:rPr>
          <w:rFonts w:hint="eastAsia" w:eastAsia="仿宋_GB2312" w:cs="Times New Roman"/>
          <w:kern w:val="0"/>
          <w:sz w:val="32"/>
          <w:szCs w:val="32"/>
          <w:highlight w:val="none"/>
          <w:lang w:val="en-US" w:eastAsia="zh-CN"/>
        </w:rPr>
        <w:t>政</w:t>
      </w:r>
      <w:r>
        <w:rPr>
          <w:rFonts w:hint="default" w:ascii="Times New Roman" w:hAnsi="Times New Roman" w:eastAsia="仿宋_GB2312" w:cs="Times New Roman"/>
          <w:kern w:val="0"/>
          <w:sz w:val="32"/>
          <w:szCs w:val="32"/>
          <w:highlight w:val="none"/>
        </w:rPr>
        <w:t>府</w:t>
      </w:r>
      <w:r>
        <w:rPr>
          <w:rFonts w:hint="default" w:ascii="Times New Roman" w:hAnsi="Times New Roman" w:eastAsia="仿宋_GB2312" w:cs="Times New Roman"/>
          <w:kern w:val="0"/>
          <w:sz w:val="32"/>
          <w:szCs w:val="32"/>
        </w:rPr>
        <w:t>信息公开工作办公室联系（</w:t>
      </w:r>
      <w:r>
        <w:rPr>
          <w:rFonts w:hint="default" w:ascii="Times New Roman" w:hAnsi="Times New Roman" w:eastAsia="仿宋_GB2312" w:cs="Times New Roman"/>
          <w:sz w:val="32"/>
          <w:szCs w:val="32"/>
        </w:rPr>
        <w:t>地址:沂南县人民路42号行政中心313,邮政编码:276300,</w:t>
      </w:r>
      <w:r>
        <w:rPr>
          <w:rFonts w:hint="default" w:ascii="Times New Roman" w:hAnsi="Times New Roman" w:eastAsia="仿宋_GB2312" w:cs="Times New Roman"/>
          <w:kern w:val="0"/>
          <w:sz w:val="32"/>
          <w:szCs w:val="32"/>
        </w:rPr>
        <w:t>电话：0539-3229017）。</w:t>
      </w:r>
    </w:p>
    <w:p>
      <w:pPr>
        <w:keepNext w:val="0"/>
        <w:keepLines w:val="0"/>
        <w:pageBreakBefore w:val="0"/>
        <w:kinsoku/>
        <w:wordWrap/>
        <w:overflowPunct/>
        <w:topLinePunct w:val="0"/>
        <w:bidi w:val="0"/>
        <w:adjustRightInd w:val="0"/>
        <w:snapToGrid w:val="0"/>
        <w:spacing w:after="313" w:afterLines="100" w:line="600" w:lineRule="exact"/>
        <w:ind w:firstLine="840" w:firstLineChars="200"/>
        <w:jc w:val="both"/>
        <w:textAlignment w:val="auto"/>
        <w:rPr>
          <w:rFonts w:hint="default" w:ascii="Times New Roman" w:hAnsi="Times New Roman" w:eastAsia="黑体" w:cs="Times New Roman"/>
          <w:sz w:val="42"/>
          <w:szCs w:val="42"/>
        </w:rPr>
      </w:pPr>
      <w:r>
        <w:rPr>
          <w:rFonts w:hint="default" w:ascii="Times New Roman" w:hAnsi="Times New Roman" w:eastAsia="黑体" w:cs="Times New Roman"/>
          <w:sz w:val="42"/>
          <w:szCs w:val="42"/>
        </w:rPr>
        <w:t>一、总体情况</w:t>
      </w:r>
    </w:p>
    <w:p>
      <w:pPr>
        <w:keepNext w:val="0"/>
        <w:keepLines w:val="0"/>
        <w:pageBreakBefore w:val="0"/>
        <w:kinsoku/>
        <w:wordWrap/>
        <w:overflowPunct/>
        <w:topLinePunct w:val="0"/>
        <w:bidi w:val="0"/>
        <w:adjustRightInd w:val="0"/>
        <w:snapToGrid w:val="0"/>
        <w:spacing w:after="313" w:afterLines="100"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2019年,全县各级政府以习近平新时代中国特色社会主义思想为指导，全面贯彻落实《中华人民共和国政府信息公开条例》要求，以公开为常态、不公开为例外，全面推进决策、执行、管理、服务、结果公开，以公开促落实，以公开促规范，以公开促服务，夯实主动公开工作基础，规范依申请公开办理流程，健全政府信息全链条管理，提升信息公开平台建设，加大监督保障力度，全面推进政府信息公开工作。</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13" w:afterLines="100" w:afterAutospacing="0" w:line="600" w:lineRule="exact"/>
        <w:ind w:left="0" w:right="0" w:firstLine="640" w:firstLineChars="200"/>
        <w:jc w:val="both"/>
        <w:textAlignment w:val="auto"/>
        <w:rPr>
          <w:rFonts w:hint="default" w:ascii="Times New Roman" w:hAnsi="Times New Roman" w:eastAsia="黑体" w:cs="Times New Roman"/>
          <w:i w:val="0"/>
          <w:caps w:val="0"/>
          <w:color w:val="333333"/>
          <w:spacing w:val="0"/>
          <w:kern w:val="0"/>
          <w:sz w:val="32"/>
          <w:szCs w:val="32"/>
          <w:shd w:val="clear" w:fill="FFFFFF"/>
          <w:lang w:val="en-US" w:eastAsia="zh-CN" w:bidi="ar"/>
        </w:rPr>
      </w:pPr>
      <w:r>
        <w:rPr>
          <w:rFonts w:hint="default" w:ascii="Times New Roman" w:hAnsi="Times New Roman" w:eastAsia="黑体" w:cs="Times New Roman"/>
          <w:i w:val="0"/>
          <w:caps w:val="0"/>
          <w:color w:val="333333"/>
          <w:spacing w:val="0"/>
          <w:kern w:val="0"/>
          <w:sz w:val="32"/>
          <w:szCs w:val="32"/>
          <w:shd w:val="clear" w:fill="FFFFFF"/>
          <w:lang w:val="en-US" w:eastAsia="zh-CN" w:bidi="ar"/>
        </w:rPr>
        <w:t>主动公开方面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13" w:afterLines="100" w:afterAutospacing="0" w:line="600" w:lineRule="exact"/>
        <w:ind w:left="0" w:right="0" w:firstLine="643" w:firstLineChars="200"/>
        <w:jc w:val="both"/>
        <w:textAlignment w:val="auto"/>
        <w:rPr>
          <w:rFonts w:hint="default" w:ascii="Times New Roman" w:hAnsi="Times New Roman" w:eastAsia="仿宋_GB2312" w:cs="Times New Roman"/>
          <w:i w:val="0"/>
          <w:caps w:val="0"/>
          <w:color w:val="333333"/>
          <w:spacing w:val="0"/>
          <w:kern w:val="0"/>
          <w:sz w:val="32"/>
          <w:szCs w:val="32"/>
          <w:shd w:val="clear" w:fill="FFFFFF"/>
          <w:lang w:val="en-US" w:eastAsia="zh-CN" w:bidi="ar"/>
        </w:rPr>
      </w:pPr>
      <w:r>
        <w:rPr>
          <w:rFonts w:hint="default" w:ascii="Times New Roman" w:hAnsi="Times New Roman" w:eastAsia="仿宋_GB2312" w:cs="Times New Roman"/>
          <w:b/>
          <w:bCs/>
          <w:i w:val="0"/>
          <w:caps w:val="0"/>
          <w:color w:val="333333"/>
          <w:spacing w:val="0"/>
          <w:kern w:val="0"/>
          <w:sz w:val="32"/>
          <w:szCs w:val="32"/>
          <w:shd w:val="clear" w:fill="FFFFFF"/>
          <w:lang w:val="en-US" w:eastAsia="zh-CN" w:bidi="ar"/>
        </w:rPr>
        <w:t>一是推进行政权力运行公开。</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推进重大决策全过程公开，对涉及个人或组织重大利益以及有重大社会影响的事项，通过意见征集专栏向社会公众公开征集意见。公开政府工作报告、年度重点工作、民生实事项目的执行过程和执行结果。设置会议公开专栏，集中发布县政府常务会、县政府全体会议和县政府专题会议内容、解读及对应媒体报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13" w:afterLines="100" w:afterAutospacing="0" w:line="600" w:lineRule="exact"/>
        <w:ind w:left="0" w:right="0" w:firstLine="640" w:firstLineChars="200"/>
        <w:jc w:val="both"/>
        <w:textAlignment w:val="auto"/>
        <w:rPr>
          <w:rFonts w:hint="default" w:ascii="Times New Roman" w:hAnsi="Times New Roman" w:eastAsia="仿宋_GB2312" w:cs="Times New Roman"/>
          <w:i w:val="0"/>
          <w:caps w:val="0"/>
          <w:color w:val="333333"/>
          <w:spacing w:val="0"/>
          <w:kern w:val="0"/>
          <w:sz w:val="32"/>
          <w:szCs w:val="32"/>
          <w:shd w:val="clear" w:fill="FFFFFF"/>
          <w:lang w:val="en-US" w:eastAsia="zh-CN" w:bidi="ar"/>
        </w:rPr>
      </w:pPr>
      <w:r>
        <w:rPr>
          <w:rFonts w:hint="default" w:ascii="Times New Roman" w:hAnsi="Times New Roman" w:eastAsia="仿宋_GB2312" w:cs="Times New Roman"/>
          <w:i w:val="0"/>
          <w:caps w:val="0"/>
          <w:color w:val="333333"/>
          <w:spacing w:val="0"/>
          <w:kern w:val="0"/>
          <w:sz w:val="32"/>
          <w:szCs w:val="32"/>
          <w:shd w:val="clear" w:fill="FFFFFF"/>
          <w:lang w:val="en-US" w:eastAsia="zh-CN" w:bidi="ar"/>
        </w:rPr>
        <w:t>1、公开法规文件。及时公开上级行政法规、规章，发布本县区规范性文件。第一时间以县政府和县政府办公室印发的政策性文件。按照“谁起草、谁解读”原则，将政策解读与政策制定同步组织、同步审签、同步部署，采用“一把手”解读、文字解读、图文解读、音视频解读等多种方式进行解读。</w:t>
      </w:r>
      <w:r>
        <w:rPr>
          <w:rFonts w:hint="default" w:ascii="Times New Roman" w:hAnsi="Times New Roman" w:eastAsia="微软雅黑" w:cs="Times New Roman"/>
          <w:i w:val="0"/>
          <w:caps w:val="0"/>
          <w:color w:val="333333"/>
          <w:spacing w:val="0"/>
          <w:kern w:val="0"/>
          <w:sz w:val="32"/>
          <w:szCs w:val="32"/>
          <w:shd w:val="clear" w:fill="FFFFFF"/>
          <w:lang w:val="en-US" w:eastAsia="zh-CN" w:bidi="ar"/>
        </w:rPr>
        <w:t>2019</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年，公开规范性文件</w:t>
      </w:r>
      <w:r>
        <w:rPr>
          <w:rFonts w:hint="default" w:ascii="Times New Roman" w:hAnsi="Times New Roman" w:eastAsia="微软雅黑" w:cs="Times New Roman"/>
          <w:i w:val="0"/>
          <w:caps w:val="0"/>
          <w:color w:val="333333"/>
          <w:spacing w:val="0"/>
          <w:kern w:val="0"/>
          <w:sz w:val="32"/>
          <w:szCs w:val="32"/>
          <w:shd w:val="clear" w:fill="FFFFFF"/>
          <w:lang w:val="en-US" w:eastAsia="zh-CN" w:bidi="ar"/>
        </w:rPr>
        <w:t>1</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件、县政府及县政府办公室文件</w:t>
      </w:r>
      <w:r>
        <w:rPr>
          <w:rFonts w:hint="default" w:ascii="Times New Roman" w:hAnsi="Times New Roman" w:eastAsia="微软雅黑" w:cs="Times New Roman"/>
          <w:i w:val="0"/>
          <w:caps w:val="0"/>
          <w:color w:val="333333"/>
          <w:spacing w:val="0"/>
          <w:kern w:val="0"/>
          <w:sz w:val="32"/>
          <w:szCs w:val="32"/>
          <w:shd w:val="clear" w:fill="FFFFFF"/>
          <w:lang w:val="en-US" w:eastAsia="zh-CN" w:bidi="ar"/>
        </w:rPr>
        <w:t>28</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件。</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2、公开机构信息。</w:t>
      </w:r>
      <w:r>
        <w:rPr>
          <w:rFonts w:hint="default" w:ascii="Times New Roman" w:hAnsi="Times New Roman" w:eastAsia="仿宋_GB2312" w:cs="Times New Roman"/>
          <w:b w:val="0"/>
          <w:bCs w:val="0"/>
          <w:color w:val="000000"/>
          <w:kern w:val="0"/>
          <w:sz w:val="32"/>
          <w:szCs w:val="32"/>
          <w:lang w:eastAsia="zh-CN" w:bidi="ar"/>
        </w:rPr>
        <w:t>公开了</w:t>
      </w:r>
      <w:r>
        <w:rPr>
          <w:rFonts w:hint="default" w:ascii="Times New Roman" w:hAnsi="Times New Roman" w:eastAsia="仿宋_GB2312" w:cs="Times New Roman"/>
          <w:b w:val="0"/>
          <w:bCs w:val="0"/>
          <w:color w:val="000000"/>
          <w:kern w:val="0"/>
          <w:sz w:val="32"/>
          <w:szCs w:val="32"/>
          <w:lang w:val="en-US" w:eastAsia="zh-CN" w:bidi="ar"/>
        </w:rPr>
        <w:t>54个县政府组成部门、事业单位、垂直单位和16个乡镇（街道、开发区）的机构职能、机构信息、办公地址、办公电话、负责人姓名等信息。公开县政府领导、各部门领导信息及工作动态100余条。</w:t>
      </w:r>
    </w:p>
    <w:p>
      <w:pPr>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drawing>
          <wp:anchor distT="0" distB="0" distL="114300" distR="114300" simplePos="0" relativeHeight="251663360" behindDoc="0" locked="0" layoutInCell="1" allowOverlap="1">
            <wp:simplePos x="0" y="0"/>
            <wp:positionH relativeFrom="column">
              <wp:posOffset>-35560</wp:posOffset>
            </wp:positionH>
            <wp:positionV relativeFrom="paragraph">
              <wp:posOffset>95250</wp:posOffset>
            </wp:positionV>
            <wp:extent cx="2824480" cy="2649855"/>
            <wp:effectExtent l="0" t="0" r="7620" b="4445"/>
            <wp:wrapTopAndBottom/>
            <wp:docPr id="3" name="图片 3" descr="f1f9e42c11b0f97a51bc0b43d3f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1f9e42c11b0f97a51bc0b43d3f4538"/>
                    <pic:cNvPicPr>
                      <a:picLocks noChangeAspect="1"/>
                    </pic:cNvPicPr>
                  </pic:nvPicPr>
                  <pic:blipFill>
                    <a:blip r:embed="rId4"/>
                    <a:stretch>
                      <a:fillRect/>
                    </a:stretch>
                  </pic:blipFill>
                  <pic:spPr>
                    <a:xfrm>
                      <a:off x="0" y="0"/>
                      <a:ext cx="2824480" cy="2649855"/>
                    </a:xfrm>
                    <a:prstGeom prst="rect">
                      <a:avLst/>
                    </a:prstGeom>
                  </pic:spPr>
                </pic:pic>
              </a:graphicData>
            </a:graphic>
          </wp:anchor>
        </w:drawing>
      </w:r>
      <w:r>
        <w:rPr>
          <w:rFonts w:hint="default" w:ascii="Times New Roman" w:hAnsi="Times New Roman" w:eastAsia="仿宋_GB2312" w:cs="Times New Roman"/>
          <w:color w:val="000000"/>
          <w:sz w:val="32"/>
          <w:szCs w:val="32"/>
          <w:lang w:val="en-US" w:eastAsia="zh-CN"/>
        </w:rPr>
        <w:drawing>
          <wp:anchor distT="0" distB="0" distL="114300" distR="114300" simplePos="0" relativeHeight="251664384" behindDoc="0" locked="0" layoutInCell="1" allowOverlap="1">
            <wp:simplePos x="0" y="0"/>
            <wp:positionH relativeFrom="column">
              <wp:posOffset>2732405</wp:posOffset>
            </wp:positionH>
            <wp:positionV relativeFrom="paragraph">
              <wp:posOffset>25400</wp:posOffset>
            </wp:positionV>
            <wp:extent cx="2660650" cy="2536190"/>
            <wp:effectExtent l="0" t="0" r="6350" b="3810"/>
            <wp:wrapTopAndBottom/>
            <wp:docPr id="4" name="图片 4" descr="8179615b06e236dad56ac8377f2c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79615b06e236dad56ac8377f2c947"/>
                    <pic:cNvPicPr>
                      <a:picLocks noChangeAspect="1"/>
                    </pic:cNvPicPr>
                  </pic:nvPicPr>
                  <pic:blipFill>
                    <a:blip r:embed="rId5"/>
                    <a:stretch>
                      <a:fillRect/>
                    </a:stretch>
                  </pic:blipFill>
                  <pic:spPr>
                    <a:xfrm>
                      <a:off x="0" y="0"/>
                      <a:ext cx="2660650" cy="2536190"/>
                    </a:xfrm>
                    <a:prstGeom prst="rect">
                      <a:avLst/>
                    </a:prstGeom>
                  </pic:spPr>
                </pic:pic>
              </a:graphicData>
            </a:graphic>
          </wp:anchor>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13" w:afterLines="100" w:afterAutospacing="0" w:line="600" w:lineRule="exact"/>
        <w:ind w:left="0" w:right="0" w:firstLine="640" w:firstLineChars="200"/>
        <w:jc w:val="both"/>
        <w:textAlignment w:val="auto"/>
        <w:rPr>
          <w:rFonts w:hint="default" w:ascii="Times New Roman" w:hAnsi="Times New Roman" w:eastAsia="仿宋_GB2312" w:cs="Times New Roman"/>
          <w:i w:val="0"/>
          <w:caps w:val="0"/>
          <w:color w:val="333333"/>
          <w:spacing w:val="0"/>
          <w:kern w:val="0"/>
          <w:sz w:val="32"/>
          <w:szCs w:val="32"/>
          <w:shd w:val="clear" w:fill="FFFFFF"/>
          <w:lang w:val="en-US" w:eastAsia="zh-CN" w:bidi="ar"/>
        </w:rPr>
      </w:pPr>
      <w:r>
        <w:rPr>
          <w:rFonts w:hint="default" w:ascii="Times New Roman" w:hAnsi="Times New Roman" w:eastAsia="仿宋_GB2312" w:cs="Times New Roman"/>
          <w:i w:val="0"/>
          <w:caps w:val="0"/>
          <w:color w:val="333333"/>
          <w:spacing w:val="0"/>
          <w:kern w:val="0"/>
          <w:sz w:val="32"/>
          <w:szCs w:val="32"/>
          <w:shd w:val="clear" w:fill="FFFFFF"/>
          <w:lang w:val="en-US" w:eastAsia="zh-CN" w:bidi="ar"/>
        </w:rPr>
        <w:t>3、公开建议提案信息。设置建议提案专栏，及时公开建议提案办理制度和总体情况以及答复情况。公开人大建议和政协提案答复</w:t>
      </w:r>
      <w:r>
        <w:rPr>
          <w:rFonts w:hint="default" w:ascii="Times New Roman" w:hAnsi="Times New Roman" w:eastAsia="微软雅黑" w:cs="Times New Roman"/>
          <w:i w:val="0"/>
          <w:caps w:val="0"/>
          <w:color w:val="333333"/>
          <w:spacing w:val="0"/>
          <w:kern w:val="0"/>
          <w:sz w:val="32"/>
          <w:szCs w:val="32"/>
          <w:shd w:val="clear" w:fill="FFFFFF"/>
          <w:lang w:val="en-US" w:eastAsia="zh-CN" w:bidi="ar"/>
        </w:rPr>
        <w:t>266</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13" w:afterLines="100" w:afterAutospacing="0" w:line="600" w:lineRule="exact"/>
        <w:ind w:right="0" w:rightChars="0" w:firstLine="643" w:firstLineChars="200"/>
        <w:jc w:val="both"/>
        <w:textAlignment w:val="auto"/>
        <w:rPr>
          <w:rFonts w:hint="default" w:ascii="Times New Roman" w:hAnsi="Times New Roman" w:eastAsia="黑体" w:cs="Times New Roman"/>
          <w:i w:val="0"/>
          <w:caps w:val="0"/>
          <w:color w:val="333333"/>
          <w:spacing w:val="0"/>
          <w:kern w:val="0"/>
          <w:sz w:val="32"/>
          <w:szCs w:val="32"/>
          <w:shd w:val="clear" w:fill="FFFFFF"/>
          <w:lang w:val="en-US" w:eastAsia="zh-CN" w:bidi="ar"/>
        </w:rPr>
      </w:pPr>
      <w:r>
        <w:rPr>
          <w:rFonts w:hint="default" w:ascii="Times New Roman" w:hAnsi="Times New Roman" w:eastAsia="仿宋_GB2312" w:cs="Times New Roman"/>
          <w:b/>
          <w:bCs/>
          <w:i w:val="0"/>
          <w:caps w:val="0"/>
          <w:color w:val="333333"/>
          <w:spacing w:val="0"/>
          <w:kern w:val="0"/>
          <w:sz w:val="32"/>
          <w:szCs w:val="32"/>
          <w:shd w:val="clear" w:fill="FFFFFF"/>
          <w:lang w:val="en-US" w:eastAsia="zh-CN" w:bidi="ar"/>
        </w:rPr>
        <w:t>二是推进重点领域信息公开。</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以政务公开促改革，集中发布权责清单、信用信息“双公示”、减税降费、统计数据、政府采购等方面信息，深化财政预决算、食品药品、安全生产、市政建设、应急管理、行政执法等方面信息。围绕批准服务、批准结果、招投标等</w:t>
      </w:r>
      <w:r>
        <w:rPr>
          <w:rFonts w:hint="default" w:ascii="Times New Roman" w:hAnsi="Times New Roman" w:eastAsia="微软雅黑" w:cs="Times New Roman"/>
          <w:i w:val="0"/>
          <w:caps w:val="0"/>
          <w:color w:val="333333"/>
          <w:spacing w:val="0"/>
          <w:kern w:val="0"/>
          <w:sz w:val="32"/>
          <w:szCs w:val="32"/>
          <w:shd w:val="clear" w:fill="FFFFFF"/>
          <w:lang w:val="en-US" w:eastAsia="zh-CN" w:bidi="ar"/>
        </w:rPr>
        <w:t>8</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类信息，公开重大项目审批、建设全过程信息。“分级分类”公开社会公益事业建设领域信息，围绕社会救助、扶贫、医疗、就业、环境保护、教育、公共文化体育等内容及时发布。对群众关注度较高的房屋征收、土地征收、公益事业、公共服务等方面信息应公开尽公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default" w:ascii="Times New Roman" w:hAnsi="Times New Roman" w:eastAsia="仿宋_GB2312" w:cs="Times New Roman"/>
          <w:b/>
          <w:bCs/>
          <w:color w:val="000000"/>
          <w:kern w:val="0"/>
          <w:sz w:val="32"/>
          <w:szCs w:val="32"/>
          <w:lang w:val="en-US" w:eastAsia="zh-CN" w:bidi="ar"/>
        </w:rPr>
      </w:pPr>
      <w:r>
        <w:rPr>
          <w:rFonts w:hint="default" w:ascii="Times New Roman" w:hAnsi="Times New Roman" w:eastAsia="微软雅黑" w:cs="Times New Roman"/>
          <w:i w:val="0"/>
          <w:caps w:val="0"/>
          <w:color w:val="333333"/>
          <w:spacing w:val="0"/>
          <w:kern w:val="0"/>
          <w:sz w:val="32"/>
          <w:szCs w:val="32"/>
          <w:shd w:val="clear" w:fill="FFFFFF"/>
          <w:lang w:val="en-US" w:eastAsia="zh-CN" w:bidi="ar"/>
        </w:rPr>
        <w:drawing>
          <wp:inline distT="0" distB="0" distL="114300" distR="114300">
            <wp:extent cx="5400040" cy="2800985"/>
            <wp:effectExtent l="0" t="0" r="10160" b="5715"/>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6"/>
                    <a:stretch>
                      <a:fillRect/>
                    </a:stretch>
                  </pic:blipFill>
                  <pic:spPr>
                    <a:xfrm>
                      <a:off x="0" y="0"/>
                      <a:ext cx="5400040" cy="28009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drawing>
          <wp:anchor distT="0" distB="0" distL="114300" distR="114300" simplePos="0" relativeHeight="251660288" behindDoc="0" locked="0" layoutInCell="1" allowOverlap="1">
            <wp:simplePos x="0" y="0"/>
            <wp:positionH relativeFrom="column">
              <wp:posOffset>2961640</wp:posOffset>
            </wp:positionH>
            <wp:positionV relativeFrom="paragraph">
              <wp:posOffset>1308735</wp:posOffset>
            </wp:positionV>
            <wp:extent cx="2548255" cy="2398395"/>
            <wp:effectExtent l="0" t="0" r="4445" b="1905"/>
            <wp:wrapTopAndBottom/>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7"/>
                    <a:stretch>
                      <a:fillRect/>
                    </a:stretch>
                  </pic:blipFill>
                  <pic:spPr>
                    <a:xfrm>
                      <a:off x="0" y="0"/>
                      <a:ext cx="2548255" cy="2398395"/>
                    </a:xfrm>
                    <a:prstGeom prst="rect">
                      <a:avLst/>
                    </a:prstGeom>
                    <a:noFill/>
                    <a:ln>
                      <a:noFill/>
                    </a:ln>
                  </pic:spPr>
                </pic:pic>
              </a:graphicData>
            </a:graphic>
          </wp:anchor>
        </w:drawing>
      </w:r>
      <w:r>
        <w:rPr>
          <w:rFonts w:hint="default" w:ascii="Times New Roman" w:hAnsi="Times New Roman" w:eastAsia="仿宋_GB2312" w:cs="Times New Roman"/>
          <w:color w:val="000000"/>
          <w:sz w:val="32"/>
          <w:szCs w:val="32"/>
          <w:lang w:val="en-US" w:eastAsia="zh-CN"/>
        </w:rPr>
        <w:drawing>
          <wp:anchor distT="0" distB="0" distL="114300" distR="114300" simplePos="0" relativeHeight="251659264" behindDoc="0" locked="0" layoutInCell="1" allowOverlap="1">
            <wp:simplePos x="0" y="0"/>
            <wp:positionH relativeFrom="column">
              <wp:posOffset>153035</wp:posOffset>
            </wp:positionH>
            <wp:positionV relativeFrom="paragraph">
              <wp:posOffset>1229995</wp:posOffset>
            </wp:positionV>
            <wp:extent cx="2607945" cy="2543810"/>
            <wp:effectExtent l="0" t="0" r="8255" b="8890"/>
            <wp:wrapTopAndBottom/>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8"/>
                    <a:stretch>
                      <a:fillRect/>
                    </a:stretch>
                  </pic:blipFill>
                  <pic:spPr>
                    <a:xfrm>
                      <a:off x="0" y="0"/>
                      <a:ext cx="2607945" cy="2543810"/>
                    </a:xfrm>
                    <a:prstGeom prst="rect">
                      <a:avLst/>
                    </a:prstGeom>
                    <a:noFill/>
                    <a:ln>
                      <a:noFill/>
                    </a:ln>
                  </pic:spPr>
                </pic:pic>
              </a:graphicData>
            </a:graphic>
          </wp:anchor>
        </w:drawing>
      </w:r>
      <w:r>
        <w:rPr>
          <w:rFonts w:hint="default" w:ascii="Times New Roman" w:hAnsi="Times New Roman" w:eastAsia="仿宋_GB2312" w:cs="Times New Roman"/>
          <w:color w:val="000000"/>
          <w:sz w:val="32"/>
          <w:szCs w:val="32"/>
          <w:lang w:val="en-US" w:eastAsia="zh-CN"/>
        </w:rPr>
        <w:t>1、公开国民经济和社会发展规划、专项规划、区域规划及相关政策信息36条；公开统计年鉴、统计公报、统计月报、统计分析等信息18条。</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2、推进信用信息“双公示”。公开行政许可、行政处罚和行政强制事项清单及结果信息200余条，公开了相关条件、依据、程序。</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sz w:val="32"/>
          <w:szCs w:val="32"/>
          <w:lang w:val="en-US" w:eastAsia="zh-CN"/>
        </w:rPr>
        <w:drawing>
          <wp:anchor distT="0" distB="0" distL="114300" distR="114300" simplePos="0" relativeHeight="251661312" behindDoc="0" locked="0" layoutInCell="1" allowOverlap="1">
            <wp:simplePos x="0" y="0"/>
            <wp:positionH relativeFrom="column">
              <wp:posOffset>181610</wp:posOffset>
            </wp:positionH>
            <wp:positionV relativeFrom="paragraph">
              <wp:posOffset>140970</wp:posOffset>
            </wp:positionV>
            <wp:extent cx="5364480" cy="2379980"/>
            <wp:effectExtent l="0" t="0" r="7620" b="7620"/>
            <wp:wrapTopAndBottom/>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9"/>
                    <a:stretch>
                      <a:fillRect/>
                    </a:stretch>
                  </pic:blipFill>
                  <pic:spPr>
                    <a:xfrm>
                      <a:off x="0" y="0"/>
                      <a:ext cx="5364480" cy="2379980"/>
                    </a:xfrm>
                    <a:prstGeom prst="rect">
                      <a:avLst/>
                    </a:prstGeom>
                    <a:noFill/>
                    <a:ln>
                      <a:noFill/>
                    </a:ln>
                  </pic:spPr>
                </pic:pic>
              </a:graphicData>
            </a:graphic>
          </wp:anchor>
        </w:drawing>
      </w: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lang w:eastAsia="zh-CN"/>
        </w:rPr>
        <w:t>建立财政预决算专栏，对预算信息、决算信息、专项经</w:t>
      </w:r>
      <w:r>
        <w:rPr>
          <w:rFonts w:hint="default" w:ascii="Times New Roman" w:hAnsi="Times New Roman" w:eastAsia="仿宋_GB2312" w:cs="Times New Roman"/>
          <w:sz w:val="32"/>
          <w:szCs w:val="32"/>
        </w:rPr>
        <w:t>费、债务信息和财政收支等信息集中发布，分别发布预算信息138条、决算信息112条、专项经费信息17条、债务信息8条和财政收支15条。</w:t>
      </w:r>
    </w:p>
    <w:p>
      <w:pPr>
        <w:autoSpaceDE w:val="0"/>
        <w:autoSpaceDN w:val="0"/>
        <w:adjustRightInd w:val="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0" distR="0">
            <wp:extent cx="5274310" cy="210820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srcRect/>
                    <a:stretch>
                      <a:fillRect/>
                    </a:stretch>
                  </pic:blipFill>
                  <pic:spPr>
                    <a:xfrm>
                      <a:off x="0" y="0"/>
                      <a:ext cx="5274310" cy="210820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4、推进重点项目信息公开，完善重点项目推进机制，实施动态管理，定期公布重点项目年度投资计划安排以及建设单位、建设规模和投资信息，发布重大建设项目设计、变更、实施等信息226条。</w:t>
      </w:r>
    </w:p>
    <w:p>
      <w:pPr>
        <w:autoSpaceDE w:val="0"/>
        <w:autoSpaceDN w:val="0"/>
        <w:adjustRightInd w:val="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0" distR="0">
            <wp:extent cx="5274310" cy="2148205"/>
            <wp:effectExtent l="0" t="0" r="8890"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cstate="print"/>
                    <a:srcRect/>
                    <a:stretch>
                      <a:fillRect/>
                    </a:stretch>
                  </pic:blipFill>
                  <pic:spPr>
                    <a:xfrm>
                      <a:off x="0" y="0"/>
                      <a:ext cx="5274310" cy="214820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5、归集发布扶贫、教育、医疗、社会保障、促进就业等方面的政策、措施及其实施情况信息，2019年累计发布扶贫信息425条；教育信息208条、医疗信息85条、社会保障信息106条，就业方面信息68条。</w:t>
      </w:r>
    </w:p>
    <w:p>
      <w:pPr>
        <w:autoSpaceDE w:val="0"/>
        <w:autoSpaceDN w:val="0"/>
        <w:adjustRightInd w:val="0"/>
        <w:ind w:left="320" w:hanging="320" w:hangingChars="1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0" distR="0">
            <wp:extent cx="5274310" cy="2291715"/>
            <wp:effectExtent l="0" t="0" r="889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a:srcRect/>
                    <a:stretch>
                      <a:fillRect/>
                    </a:stretch>
                  </pic:blipFill>
                  <pic:spPr>
                    <a:xfrm>
                      <a:off x="0" y="0"/>
                      <a:ext cx="5274310" cy="2292082"/>
                    </a:xfrm>
                    <a:prstGeom prst="rect">
                      <a:avLst/>
                    </a:prstGeom>
                    <a:noFill/>
                    <a:ln w="9525">
                      <a:noFill/>
                      <a:miter lim="800000"/>
                      <a:headEnd/>
                      <a:tailEnd/>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val="0"/>
        <w:snapToGrid/>
        <w:ind w:firstLine="640" w:firstLineChars="200"/>
        <w:jc w:val="left"/>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6、集中发布</w:t>
      </w:r>
      <w:r>
        <w:rPr>
          <w:rFonts w:hint="default" w:ascii="Times New Roman" w:hAnsi="Times New Roman" w:eastAsia="仿宋_GB2312" w:cs="Times New Roman"/>
          <w:color w:val="000000"/>
          <w:sz w:val="32"/>
          <w:szCs w:val="32"/>
          <w:lang w:eastAsia="zh-CN"/>
        </w:rPr>
        <w:t>行政事业</w:t>
      </w:r>
      <w:r>
        <w:rPr>
          <w:rFonts w:hint="eastAsia" w:eastAsia="仿宋_GB2312" w:cs="Times New Roman"/>
          <w:color w:val="000000"/>
          <w:sz w:val="32"/>
          <w:szCs w:val="32"/>
          <w:lang w:val="en-US" w:eastAsia="zh-CN"/>
        </w:rPr>
        <w:t>性</w:t>
      </w:r>
      <w:r>
        <w:rPr>
          <w:rFonts w:hint="default" w:ascii="Times New Roman" w:hAnsi="Times New Roman" w:eastAsia="仿宋_GB2312" w:cs="Times New Roman"/>
          <w:color w:val="000000"/>
          <w:sz w:val="32"/>
          <w:szCs w:val="32"/>
          <w:lang w:eastAsia="zh-CN"/>
        </w:rPr>
        <w:t>收费、政府集中采购、公务员考录、</w:t>
      </w:r>
      <w:r>
        <w:rPr>
          <w:rFonts w:hint="default" w:ascii="Times New Roman" w:hAnsi="Times New Roman" w:eastAsia="仿宋_GB2312" w:cs="Times New Roman"/>
          <w:color w:val="000000"/>
          <w:sz w:val="32"/>
          <w:szCs w:val="32"/>
          <w:lang w:val="en-US" w:eastAsia="zh-CN"/>
        </w:rPr>
        <w:t>环境保护、安全生产、食品药品、产品质量、建筑市场等相关政策或</w:t>
      </w:r>
      <w:r>
        <w:rPr>
          <w:rFonts w:hint="default" w:ascii="Times New Roman" w:hAnsi="Times New Roman" w:eastAsia="仿宋_GB2312" w:cs="Times New Roman"/>
          <w:color w:val="000000"/>
          <w:sz w:val="32"/>
          <w:szCs w:val="32"/>
          <w:lang w:eastAsia="zh-CN"/>
        </w:rPr>
        <w:t>监督检查信息，</w:t>
      </w:r>
      <w:r>
        <w:rPr>
          <w:rFonts w:hint="default" w:ascii="Times New Roman" w:hAnsi="Times New Roman" w:eastAsia="仿宋_GB2312" w:cs="Times New Roman"/>
          <w:color w:val="000000"/>
          <w:sz w:val="32"/>
          <w:szCs w:val="32"/>
        </w:rPr>
        <w:t>深化</w:t>
      </w:r>
      <w:bookmarkStart w:id="0" w:name="_GoBack"/>
      <w:bookmarkEnd w:id="0"/>
      <w:r>
        <w:rPr>
          <w:rFonts w:hint="default" w:ascii="Times New Roman" w:hAnsi="Times New Roman" w:eastAsia="仿宋_GB2312" w:cs="Times New Roman"/>
          <w:color w:val="000000"/>
          <w:sz w:val="32"/>
          <w:szCs w:val="32"/>
        </w:rPr>
        <w:t>市政建设、</w:t>
      </w:r>
      <w:r>
        <w:rPr>
          <w:rFonts w:hint="default" w:ascii="Times New Roman" w:hAnsi="Times New Roman" w:eastAsia="仿宋_GB2312" w:cs="Times New Roman"/>
          <w:color w:val="000000"/>
          <w:sz w:val="32"/>
          <w:szCs w:val="32"/>
          <w:lang w:eastAsia="zh-CN"/>
        </w:rPr>
        <w:t>公共服务、土地征收、房屋征收、治安管理等领域信息公开，共发布信息</w:t>
      </w:r>
      <w:r>
        <w:rPr>
          <w:rFonts w:hint="default" w:ascii="Times New Roman" w:hAnsi="Times New Roman" w:eastAsia="仿宋_GB2312" w:cs="Times New Roman"/>
          <w:color w:val="000000"/>
          <w:sz w:val="32"/>
          <w:szCs w:val="32"/>
          <w:lang w:val="en-US" w:eastAsia="zh-CN"/>
        </w:rPr>
        <w:t>1000余条。</w:t>
      </w:r>
    </w:p>
    <w:p>
      <w:pPr>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sz w:val="32"/>
          <w:szCs w:val="32"/>
        </w:rPr>
        <w:drawing>
          <wp:anchor distT="0" distB="0" distL="0" distR="0" simplePos="0" relativeHeight="251662336" behindDoc="0" locked="0" layoutInCell="1" allowOverlap="1">
            <wp:simplePos x="0" y="0"/>
            <wp:positionH relativeFrom="column">
              <wp:posOffset>89535</wp:posOffset>
            </wp:positionH>
            <wp:positionV relativeFrom="paragraph">
              <wp:posOffset>102870</wp:posOffset>
            </wp:positionV>
            <wp:extent cx="5274310" cy="2769235"/>
            <wp:effectExtent l="0" t="0" r="8890" b="12065"/>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a:srcRect/>
                    <a:stretch>
                      <a:fillRect/>
                    </a:stretch>
                  </pic:blipFill>
                  <pic:spPr>
                    <a:xfrm>
                      <a:off x="0" y="0"/>
                      <a:ext cx="5274310" cy="2769235"/>
                    </a:xfrm>
                    <a:prstGeom prst="rect">
                      <a:avLst/>
                    </a:prstGeom>
                    <a:noFill/>
                    <a:ln w="9525">
                      <a:noFill/>
                      <a:miter lim="800000"/>
                      <a:headEnd/>
                      <a:tailEnd/>
                    </a:ln>
                  </pic:spPr>
                </pic:pic>
              </a:graphicData>
            </a:graphic>
          </wp:anchor>
        </w:drawing>
      </w:r>
      <w:r>
        <w:rPr>
          <w:rFonts w:hint="default" w:ascii="Times New Roman" w:hAnsi="Times New Roman" w:eastAsia="仿宋_GB2312" w:cs="Times New Roman"/>
          <w:color w:val="000000"/>
          <w:sz w:val="32"/>
          <w:szCs w:val="32"/>
          <w:lang w:val="en-US" w:eastAsia="zh-CN"/>
        </w:rPr>
        <w:t>7、发布突发公共事件的应急预案、预警信息及应对情况信息123条。</w:t>
      </w:r>
    </w:p>
    <w:p>
      <w:pPr>
        <w:autoSpaceDE w:val="0"/>
        <w:autoSpaceDN w:val="0"/>
        <w:adjustRightInd w:val="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drawing>
          <wp:inline distT="0" distB="0" distL="0" distR="0">
            <wp:extent cx="5274310" cy="2265045"/>
            <wp:effectExtent l="0" t="0" r="889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 cstate="print"/>
                    <a:srcRect/>
                    <a:stretch>
                      <a:fillRect/>
                    </a:stretch>
                  </pic:blipFill>
                  <pic:spPr>
                    <a:xfrm>
                      <a:off x="0" y="0"/>
                      <a:ext cx="5274310" cy="2265045"/>
                    </a:xfrm>
                    <a:prstGeom prst="rect">
                      <a:avLst/>
                    </a:prstGeom>
                    <a:noFill/>
                    <a:ln w="9525">
                      <a:noFill/>
                      <a:miter lim="800000"/>
                      <a:headEnd/>
                      <a:tailEnd/>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7" w:afterLines="50" w:afterAutospacing="0" w:line="600" w:lineRule="exact"/>
        <w:ind w:left="0" w:right="0" w:firstLine="640" w:firstLineChars="200"/>
        <w:jc w:val="both"/>
        <w:textAlignment w:val="auto"/>
        <w:rPr>
          <w:rFonts w:hint="default" w:ascii="Times New Roman" w:hAnsi="Times New Roman" w:eastAsia="微软雅黑" w:cs="Times New Roman"/>
          <w:i w:val="0"/>
          <w:caps w:val="0"/>
          <w:color w:val="333333"/>
          <w:spacing w:val="0"/>
          <w:sz w:val="17"/>
          <w:szCs w:val="17"/>
        </w:rPr>
      </w:pPr>
      <w:r>
        <w:rPr>
          <w:rFonts w:hint="default" w:ascii="Times New Roman" w:hAnsi="Times New Roman" w:eastAsia="黑体" w:cs="Times New Roman"/>
          <w:i w:val="0"/>
          <w:caps w:val="0"/>
          <w:color w:val="333333"/>
          <w:spacing w:val="0"/>
          <w:kern w:val="0"/>
          <w:sz w:val="32"/>
          <w:szCs w:val="32"/>
          <w:shd w:val="clear" w:fill="FFFFFF"/>
          <w:lang w:val="en-US" w:eastAsia="zh-CN" w:bidi="ar"/>
        </w:rPr>
        <w:t>（二）依申请公开方面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7" w:afterLines="50" w:afterAutospacing="0" w:line="600" w:lineRule="exact"/>
        <w:ind w:left="0" w:right="0" w:firstLine="640" w:firstLineChars="200"/>
        <w:jc w:val="left"/>
        <w:textAlignment w:val="auto"/>
        <w:rPr>
          <w:rFonts w:hint="default" w:ascii="Times New Roman" w:hAnsi="Times New Roman" w:eastAsia="仿宋_GB2312" w:cs="Times New Roman"/>
          <w:i w:val="0"/>
          <w:caps w:val="0"/>
          <w:color w:val="000000"/>
          <w:spacing w:val="0"/>
          <w:kern w:val="0"/>
          <w:sz w:val="32"/>
          <w:szCs w:val="32"/>
          <w:shd w:val="clear" w:fill="FFFFFF"/>
          <w:lang w:val="en-US" w:eastAsia="zh-CN" w:bidi="ar"/>
        </w:rPr>
      </w:pPr>
      <w:r>
        <w:rPr>
          <w:rFonts w:hint="default" w:ascii="Times New Roman" w:hAnsi="Times New Roman" w:eastAsia="仿宋_GB2312" w:cs="Times New Roman"/>
          <w:i w:val="0"/>
          <w:caps w:val="0"/>
          <w:color w:val="333333"/>
          <w:spacing w:val="0"/>
          <w:kern w:val="0"/>
          <w:sz w:val="32"/>
          <w:szCs w:val="32"/>
          <w:shd w:val="clear" w:fill="FFFFFF"/>
          <w:lang w:val="en-US" w:eastAsia="zh-CN" w:bidi="ar"/>
        </w:rPr>
        <w:t>建立依申请公开工作联办会商制度，对县政府或县政府办公室收到的依申请公开，按照会商研判、部门提初步意见、电子政务办审核、司法局把关、县领导签批的办理程序进行办理，在各乡镇、部门的配合下，县政府和县府办收到的依申请公开信件全部按时办结。</w:t>
      </w:r>
      <w:r>
        <w:rPr>
          <w:rFonts w:hint="default" w:ascii="Times New Roman" w:hAnsi="Times New Roman" w:eastAsia="仿宋_GB2312" w:cs="Times New Roman"/>
          <w:i w:val="0"/>
          <w:caps w:val="0"/>
          <w:color w:val="000000"/>
          <w:spacing w:val="0"/>
          <w:kern w:val="0"/>
          <w:sz w:val="32"/>
          <w:szCs w:val="32"/>
          <w:shd w:val="clear" w:fill="FFFFFF"/>
          <w:lang w:val="en-US" w:eastAsia="zh-CN" w:bidi="ar"/>
        </w:rPr>
        <w:t>2019年，全县共办理公民、法人和其他组织提出的政府信息公开申请</w:t>
      </w:r>
      <w:r>
        <w:rPr>
          <w:rFonts w:hint="default" w:ascii="Times New Roman" w:hAnsi="Times New Roman" w:eastAsia="微软雅黑" w:cs="Times New Roman"/>
          <w:i w:val="0"/>
          <w:caps w:val="0"/>
          <w:color w:val="000000"/>
          <w:spacing w:val="0"/>
          <w:kern w:val="0"/>
          <w:sz w:val="32"/>
          <w:szCs w:val="32"/>
          <w:shd w:val="clear" w:fill="FFFFFF"/>
          <w:lang w:val="en-US" w:eastAsia="zh-CN" w:bidi="ar"/>
        </w:rPr>
        <w:t>37</w:t>
      </w:r>
      <w:r>
        <w:rPr>
          <w:rFonts w:hint="default" w:ascii="Times New Roman" w:hAnsi="Times New Roman" w:eastAsia="仿宋_GB2312" w:cs="Times New Roman"/>
          <w:i w:val="0"/>
          <w:caps w:val="0"/>
          <w:color w:val="000000"/>
          <w:spacing w:val="0"/>
          <w:kern w:val="0"/>
          <w:sz w:val="32"/>
          <w:szCs w:val="32"/>
          <w:shd w:val="clear" w:fill="FFFFFF"/>
          <w:lang w:val="en-US" w:eastAsia="zh-CN" w:bidi="ar"/>
        </w:rPr>
        <w:t>件，均按时答复，主要涉及土地征用与补偿、拆迁许可和补偿安置、土地规划和建设、生态环保等。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7" w:afterLines="50" w:afterAutospacing="0" w:line="600" w:lineRule="exact"/>
        <w:ind w:left="0" w:right="0" w:firstLine="420" w:firstLineChars="200"/>
        <w:jc w:val="left"/>
        <w:textAlignment w:val="auto"/>
        <w:rPr>
          <w:rFonts w:hint="default" w:ascii="Times New Roman" w:hAnsi="Times New Roman" w:eastAsia="微软雅黑" w:cs="Times New Roman"/>
          <w:i w:val="0"/>
          <w:caps w:val="0"/>
          <w:color w:val="333333"/>
          <w:spacing w:val="0"/>
          <w:kern w:val="0"/>
          <w:sz w:val="32"/>
          <w:szCs w:val="32"/>
          <w:shd w:val="clear" w:fill="FFFFFF"/>
          <w:lang w:val="en-US" w:eastAsia="zh-CN" w:bidi="ar"/>
        </w:rPr>
      </w:pPr>
      <w:r>
        <w:rPr>
          <w:rFonts w:hint="default" w:ascii="Times New Roman" w:hAnsi="Times New Roman" w:cs="Times New Roman"/>
        </w:rPr>
        <w:drawing>
          <wp:anchor distT="0" distB="0" distL="114300" distR="114300" simplePos="0" relativeHeight="251665408" behindDoc="0" locked="0" layoutInCell="1" allowOverlap="1">
            <wp:simplePos x="0" y="0"/>
            <wp:positionH relativeFrom="column">
              <wp:posOffset>-635</wp:posOffset>
            </wp:positionH>
            <wp:positionV relativeFrom="paragraph">
              <wp:posOffset>3264535</wp:posOffset>
            </wp:positionV>
            <wp:extent cx="5273675" cy="2943225"/>
            <wp:effectExtent l="4445" t="4445" r="5080" b="49530"/>
            <wp:wrapTopAndBottom/>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default" w:ascii="Times New Roman" w:hAnsi="Times New Roman" w:eastAsia="微软雅黑" w:cs="Times New Roman"/>
          <w:i w:val="0"/>
          <w:caps w:val="0"/>
          <w:color w:val="333333"/>
          <w:spacing w:val="0"/>
          <w:kern w:val="0"/>
          <w:sz w:val="32"/>
          <w:szCs w:val="32"/>
          <w:shd w:val="clear" w:fill="FFFFFF"/>
          <w:lang w:val="en-US" w:eastAsia="zh-CN" w:bidi="ar"/>
        </w:rPr>
        <w:drawing>
          <wp:anchor distT="0" distB="0" distL="114300" distR="114300" simplePos="0" relativeHeight="251666432" behindDoc="0" locked="0" layoutInCell="1" allowOverlap="1">
            <wp:simplePos x="0" y="0"/>
            <wp:positionH relativeFrom="column">
              <wp:posOffset>-11430</wp:posOffset>
            </wp:positionH>
            <wp:positionV relativeFrom="paragraph">
              <wp:posOffset>123825</wp:posOffset>
            </wp:positionV>
            <wp:extent cx="5307330" cy="2836545"/>
            <wp:effectExtent l="0" t="0" r="1270" b="8255"/>
            <wp:wrapTopAndBottom/>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6"/>
                    <a:stretch>
                      <a:fillRect/>
                    </a:stretch>
                  </pic:blipFill>
                  <pic:spPr>
                    <a:xfrm>
                      <a:off x="0" y="0"/>
                      <a:ext cx="5307330" cy="2836545"/>
                    </a:xfrm>
                    <a:prstGeom prst="rect">
                      <a:avLst/>
                    </a:prstGeom>
                    <a:noFill/>
                    <a:ln w="9525">
                      <a:noFill/>
                    </a:ln>
                  </pic:spPr>
                </pic:pic>
              </a:graphicData>
            </a:graphic>
          </wp:anchor>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313" w:afterLines="100" w:afterAutospacing="0" w:line="600" w:lineRule="exact"/>
        <w:ind w:left="0" w:right="0" w:firstLine="640" w:firstLineChars="200"/>
        <w:jc w:val="left"/>
        <w:textAlignment w:val="auto"/>
        <w:rPr>
          <w:rFonts w:hint="default" w:ascii="Times New Roman" w:hAnsi="Times New Roman" w:eastAsia="微软雅黑" w:cs="Times New Roman"/>
          <w:i w:val="0"/>
          <w:caps w:val="0"/>
          <w:color w:val="333333"/>
          <w:spacing w:val="0"/>
          <w:sz w:val="17"/>
          <w:szCs w:val="17"/>
        </w:rPr>
      </w:pPr>
      <w:r>
        <w:rPr>
          <w:rFonts w:hint="default" w:ascii="Times New Roman" w:hAnsi="Times New Roman" w:eastAsia="黑体" w:cs="Times New Roman"/>
          <w:i w:val="0"/>
          <w:caps w:val="0"/>
          <w:color w:val="000000"/>
          <w:spacing w:val="0"/>
          <w:kern w:val="0"/>
          <w:sz w:val="32"/>
          <w:szCs w:val="32"/>
          <w:shd w:val="clear" w:fill="FFFFFF"/>
          <w:lang w:val="en-US" w:eastAsia="zh-CN" w:bidi="ar"/>
        </w:rPr>
        <w:t>（三）政府信息管理方面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313" w:afterLines="100" w:afterAutospacing="0" w:line="600" w:lineRule="exact"/>
        <w:ind w:left="0" w:right="0" w:firstLine="643" w:firstLineChars="200"/>
        <w:jc w:val="both"/>
        <w:textAlignment w:val="auto"/>
        <w:rPr>
          <w:rFonts w:hint="default" w:ascii="Times New Roman" w:hAnsi="Times New Roman" w:eastAsia="微软雅黑" w:cs="Times New Roman"/>
          <w:i w:val="0"/>
          <w:caps w:val="0"/>
          <w:color w:val="333333"/>
          <w:spacing w:val="0"/>
          <w:sz w:val="17"/>
          <w:szCs w:val="17"/>
        </w:rPr>
      </w:pPr>
      <w:r>
        <w:rPr>
          <w:rFonts w:hint="default" w:ascii="Times New Roman" w:hAnsi="Times New Roman" w:eastAsia="仿宋_GB2312" w:cs="Times New Roman"/>
          <w:b/>
          <w:bCs/>
          <w:i w:val="0"/>
          <w:caps w:val="0"/>
          <w:color w:val="000000"/>
          <w:spacing w:val="0"/>
          <w:kern w:val="0"/>
          <w:sz w:val="32"/>
          <w:szCs w:val="32"/>
          <w:shd w:val="clear" w:fill="FFFFFF"/>
          <w:lang w:val="en-US" w:eastAsia="zh-CN" w:bidi="ar"/>
        </w:rPr>
        <w:t>一是加强组织领导。</w:t>
      </w:r>
      <w:r>
        <w:rPr>
          <w:rFonts w:hint="default" w:ascii="Times New Roman" w:hAnsi="Times New Roman" w:eastAsia="仿宋_GB2312" w:cs="Times New Roman"/>
          <w:i w:val="0"/>
          <w:caps w:val="0"/>
          <w:color w:val="000000"/>
          <w:spacing w:val="0"/>
          <w:kern w:val="0"/>
          <w:sz w:val="32"/>
          <w:szCs w:val="32"/>
          <w:shd w:val="clear" w:fill="FFFFFF"/>
          <w:lang w:val="en-US" w:eastAsia="zh-CN" w:bidi="ar"/>
        </w:rPr>
        <w:t>沂南县高度重视政府信息公开工作，成立以常务副县长任组长，各相关单位为成员的县政府信息公开领导小组，县政府办公室专门设置电子政务办公室负责政府信息公开工作，配备工作人员3名。同时，要求各单位要配备办公场所和工作人员，</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16个乡镇（街道、开发区）和县政府54个部门</w:t>
      </w:r>
      <w:r>
        <w:rPr>
          <w:rFonts w:hint="default" w:ascii="Times New Roman" w:hAnsi="Times New Roman" w:eastAsia="仿宋_GB2312" w:cs="Times New Roman"/>
          <w:kern w:val="0"/>
          <w:sz w:val="32"/>
          <w:szCs w:val="32"/>
          <w:lang w:eastAsia="zh-CN"/>
        </w:rPr>
        <w:t>的分管和具体工作人员予以明确，确保事事有人干，责任有落实。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313" w:afterLines="100" w:afterAutospacing="0" w:line="600" w:lineRule="exact"/>
        <w:ind w:left="0" w:right="0" w:firstLine="643" w:firstLineChars="200"/>
        <w:jc w:val="left"/>
        <w:textAlignment w:val="auto"/>
        <w:rPr>
          <w:rFonts w:hint="default" w:ascii="Times New Roman" w:hAnsi="Times New Roman" w:eastAsia="仿宋_GB2312" w:cs="Times New Roman"/>
          <w:i w:val="0"/>
          <w:caps w:val="0"/>
          <w:color w:val="000000"/>
          <w:spacing w:val="0"/>
          <w:kern w:val="0"/>
          <w:sz w:val="32"/>
          <w:szCs w:val="32"/>
          <w:shd w:val="clear" w:fill="FFFFFF"/>
          <w:lang w:val="en-US" w:eastAsia="zh-CN" w:bidi="ar"/>
        </w:rPr>
      </w:pPr>
      <w:r>
        <w:rPr>
          <w:rFonts w:hint="default" w:ascii="Times New Roman" w:hAnsi="Times New Roman" w:eastAsia="仿宋_GB2312" w:cs="Times New Roman"/>
          <w:b/>
          <w:bCs/>
          <w:i w:val="0"/>
          <w:caps w:val="0"/>
          <w:color w:val="000000"/>
          <w:spacing w:val="0"/>
          <w:kern w:val="0"/>
          <w:sz w:val="32"/>
          <w:szCs w:val="32"/>
          <w:shd w:val="clear" w:fill="FFFFFF"/>
          <w:lang w:val="en-US" w:eastAsia="zh-CN" w:bidi="ar"/>
        </w:rPr>
        <w:t>二是</w:t>
      </w:r>
      <w:r>
        <w:rPr>
          <w:rFonts w:hint="eastAsia" w:eastAsia="仿宋_GB2312" w:cs="Times New Roman"/>
          <w:b/>
          <w:bCs/>
          <w:i w:val="0"/>
          <w:caps w:val="0"/>
          <w:color w:val="000000"/>
          <w:spacing w:val="0"/>
          <w:kern w:val="0"/>
          <w:sz w:val="32"/>
          <w:szCs w:val="32"/>
          <w:shd w:val="clear" w:fill="FFFFFF"/>
          <w:lang w:val="en-US" w:eastAsia="zh-CN" w:bidi="ar"/>
        </w:rPr>
        <w:t>规范信息管理</w:t>
      </w:r>
      <w:r>
        <w:rPr>
          <w:rFonts w:hint="default" w:ascii="Times New Roman" w:hAnsi="Times New Roman" w:eastAsia="仿宋_GB2312" w:cs="Times New Roman"/>
          <w:b/>
          <w:bCs/>
          <w:i w:val="0"/>
          <w:caps w:val="0"/>
          <w:color w:val="000000"/>
          <w:spacing w:val="0"/>
          <w:kern w:val="0"/>
          <w:sz w:val="32"/>
          <w:szCs w:val="32"/>
          <w:shd w:val="clear" w:fill="FFFFFF"/>
          <w:lang w:val="en-US" w:eastAsia="zh-CN" w:bidi="ar"/>
        </w:rPr>
        <w:t>。</w:t>
      </w:r>
      <w:r>
        <w:rPr>
          <w:rFonts w:hint="default" w:ascii="Times New Roman" w:hAnsi="Times New Roman" w:eastAsia="仿宋_GB2312" w:cs="Times New Roman"/>
          <w:i w:val="0"/>
          <w:caps w:val="0"/>
          <w:color w:val="000000"/>
          <w:spacing w:val="0"/>
          <w:kern w:val="0"/>
          <w:sz w:val="32"/>
          <w:szCs w:val="32"/>
          <w:shd w:val="clear" w:fill="FFFFFF"/>
          <w:lang w:val="en-US" w:eastAsia="zh-CN" w:bidi="ar"/>
        </w:rPr>
        <w:t>严格执行政府信息公开制度，把“五公开”纳入办文办会程序，强化公文公开属性管理，规范发布程序和渠道，从源头上解决公开属性的认定问题。</w:t>
      </w:r>
      <w:r>
        <w:rPr>
          <w:rFonts w:hint="eastAsia" w:eastAsia="仿宋_GB2312" w:cs="Times New Roman"/>
          <w:i w:val="0"/>
          <w:caps w:val="0"/>
          <w:color w:val="000000"/>
          <w:spacing w:val="0"/>
          <w:kern w:val="0"/>
          <w:sz w:val="32"/>
          <w:szCs w:val="32"/>
          <w:shd w:val="clear" w:fill="FFFFFF"/>
          <w:lang w:val="en-US" w:eastAsia="zh-CN" w:bidi="ar"/>
        </w:rPr>
        <w:t>同时，对政府信息实行全生命周期的规范管理，截至2019年，继续有效规范性文件15件，废止28件。目前已根据清理情况在县政府网站上标注了此文已失效。</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313" w:afterLines="100" w:afterAutospacing="0" w:line="600" w:lineRule="exact"/>
        <w:ind w:left="0" w:right="0" w:firstLine="643" w:firstLineChars="200"/>
        <w:jc w:val="left"/>
        <w:textAlignment w:val="auto"/>
        <w:rPr>
          <w:rFonts w:hint="default" w:ascii="Times New Roman" w:hAnsi="Times New Roman" w:eastAsia="微软雅黑" w:cs="Times New Roman"/>
          <w:i w:val="0"/>
          <w:caps w:val="0"/>
          <w:color w:val="333333"/>
          <w:spacing w:val="0"/>
          <w:sz w:val="17"/>
          <w:szCs w:val="17"/>
        </w:rPr>
      </w:pPr>
      <w:r>
        <w:rPr>
          <w:rFonts w:hint="default" w:ascii="Times New Roman" w:hAnsi="Times New Roman" w:eastAsia="仿宋_GB2312" w:cs="Times New Roman"/>
          <w:b/>
          <w:bCs/>
          <w:i w:val="0"/>
          <w:caps w:val="0"/>
          <w:color w:val="000000"/>
          <w:spacing w:val="0"/>
          <w:kern w:val="0"/>
          <w:sz w:val="32"/>
          <w:szCs w:val="32"/>
          <w:shd w:val="clear" w:fill="FFFFFF"/>
          <w:lang w:val="en-US" w:eastAsia="zh-CN" w:bidi="ar"/>
        </w:rPr>
        <w:t>三是落实政务公开责任制。</w:t>
      </w:r>
      <w:r>
        <w:rPr>
          <w:rFonts w:hint="default" w:ascii="Times New Roman" w:hAnsi="Times New Roman" w:eastAsia="仿宋_GB2312" w:cs="Times New Roman"/>
          <w:i w:val="0"/>
          <w:caps w:val="0"/>
          <w:color w:val="000000"/>
          <w:spacing w:val="0"/>
          <w:kern w:val="0"/>
          <w:sz w:val="32"/>
          <w:szCs w:val="32"/>
          <w:shd w:val="clear" w:fill="FFFFFF"/>
          <w:lang w:val="en-US" w:eastAsia="zh-CN" w:bidi="ar"/>
        </w:rPr>
        <w:t>编制《沂南县政府信息主动公开基本目录》，明确事项公开内容、公开依据、公开时限、公开主体、公开渠道，确保政府信息公开工作的制度化、规范化和常态化。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313" w:afterLines="100" w:afterAutospacing="0" w:line="600" w:lineRule="exact"/>
        <w:ind w:left="0" w:right="0" w:firstLine="640" w:firstLineChars="200"/>
        <w:jc w:val="left"/>
        <w:textAlignment w:val="auto"/>
        <w:rPr>
          <w:rFonts w:hint="default" w:ascii="Times New Roman" w:hAnsi="Times New Roman" w:eastAsia="微软雅黑" w:cs="Times New Roman"/>
          <w:i w:val="0"/>
          <w:caps w:val="0"/>
          <w:color w:val="333333"/>
          <w:spacing w:val="0"/>
          <w:sz w:val="17"/>
          <w:szCs w:val="17"/>
        </w:rPr>
      </w:pPr>
      <w:r>
        <w:rPr>
          <w:rFonts w:hint="default" w:ascii="Times New Roman" w:hAnsi="Times New Roman" w:eastAsia="黑体" w:cs="Times New Roman"/>
          <w:i w:val="0"/>
          <w:caps w:val="0"/>
          <w:color w:val="000000"/>
          <w:spacing w:val="0"/>
          <w:kern w:val="0"/>
          <w:sz w:val="32"/>
          <w:szCs w:val="32"/>
          <w:shd w:val="clear" w:fill="FFFFFF"/>
          <w:lang w:val="en-US" w:eastAsia="zh-CN" w:bidi="ar"/>
        </w:rPr>
        <w:t>（四）政府信息公开平台建设方面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600" w:lineRule="exact"/>
        <w:ind w:left="0" w:right="0" w:firstLine="640" w:firstLineChars="200"/>
        <w:jc w:val="left"/>
        <w:textAlignment w:val="auto"/>
        <w:rPr>
          <w:rFonts w:hint="default" w:ascii="Times New Roman" w:hAnsi="Times New Roman" w:eastAsia="仿宋_GB2312" w:cs="Times New Roman"/>
          <w:i w:val="0"/>
          <w:caps w:val="0"/>
          <w:color w:val="333333"/>
          <w:spacing w:val="0"/>
          <w:kern w:val="0"/>
          <w:sz w:val="32"/>
          <w:szCs w:val="32"/>
          <w:shd w:val="clear" w:fill="FFFFFF"/>
          <w:lang w:val="en-US" w:eastAsia="zh-CN" w:bidi="ar"/>
        </w:rPr>
      </w:pPr>
      <w:r>
        <w:rPr>
          <w:rFonts w:hint="default" w:ascii="Times New Roman" w:hAnsi="Times New Roman" w:eastAsia="微软雅黑" w:cs="Times New Roman"/>
          <w:i w:val="0"/>
          <w:caps w:val="0"/>
          <w:color w:val="333333"/>
          <w:spacing w:val="0"/>
          <w:kern w:val="0"/>
          <w:sz w:val="32"/>
          <w:szCs w:val="32"/>
          <w:shd w:val="clear" w:fill="FFFFFF"/>
          <w:lang w:val="en-US" w:eastAsia="zh-CN" w:bidi="ar"/>
        </w:rPr>
        <w:t>2019</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年，对县政府门户网站进行了优化改版，设置政务公开、网上办事、政民互动、主题专栏、新媒体等</w:t>
      </w:r>
      <w:r>
        <w:rPr>
          <w:rFonts w:hint="default" w:ascii="Times New Roman" w:hAnsi="Times New Roman" w:eastAsia="微软雅黑" w:cs="Times New Roman"/>
          <w:i w:val="0"/>
          <w:caps w:val="0"/>
          <w:color w:val="333333"/>
          <w:spacing w:val="0"/>
          <w:kern w:val="0"/>
          <w:sz w:val="32"/>
          <w:szCs w:val="32"/>
          <w:shd w:val="clear" w:fill="FFFFFF"/>
          <w:lang w:val="en-US" w:eastAsia="zh-CN" w:bidi="ar"/>
        </w:rPr>
        <w:t>7</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个板块，并增设公开指标</w:t>
      </w:r>
      <w:r>
        <w:rPr>
          <w:rFonts w:hint="default" w:ascii="Times New Roman" w:hAnsi="Times New Roman" w:eastAsia="微软雅黑" w:cs="Times New Roman"/>
          <w:i w:val="0"/>
          <w:caps w:val="0"/>
          <w:color w:val="333333"/>
          <w:spacing w:val="0"/>
          <w:kern w:val="0"/>
          <w:sz w:val="32"/>
          <w:szCs w:val="32"/>
          <w:shd w:val="clear" w:fill="FFFFFF"/>
          <w:lang w:val="en-US" w:eastAsia="zh-CN" w:bidi="ar"/>
        </w:rPr>
        <w:t>200</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余项在公开列表中分别进行了细化，由各单位及时在网站公开相关内容，确保国家、省、市公开有关要求落到实处，最大程度满足群众知情权。</w:t>
      </w:r>
      <w:r>
        <w:rPr>
          <w:rFonts w:hint="eastAsia" w:eastAsia="仿宋_GB2312" w:cs="Times New Roman"/>
          <w:i w:val="0"/>
          <w:caps w:val="0"/>
          <w:color w:val="333333"/>
          <w:spacing w:val="0"/>
          <w:kern w:val="0"/>
          <w:sz w:val="32"/>
          <w:szCs w:val="32"/>
          <w:shd w:val="clear" w:fill="FFFFFF"/>
          <w:lang w:val="en-US" w:eastAsia="zh-CN" w:bidi="ar"/>
        </w:rPr>
        <w:t>设置政府公报专栏，2019年共发布政府公报6期。</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积极利用“</w:t>
      </w:r>
      <w:r>
        <w:rPr>
          <w:rFonts w:hint="default" w:ascii="Times New Roman" w:hAnsi="Times New Roman" w:eastAsia="微软雅黑" w:cs="Times New Roman"/>
          <w:i w:val="0"/>
          <w:caps w:val="0"/>
          <w:color w:val="333333"/>
          <w:spacing w:val="0"/>
          <w:kern w:val="0"/>
          <w:sz w:val="32"/>
          <w:szCs w:val="32"/>
          <w:shd w:val="clear" w:fill="FFFFFF"/>
          <w:lang w:val="en-US" w:eastAsia="zh-CN" w:bidi="ar"/>
        </w:rPr>
        <w:t>i</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沂南”微信、广播、电视、报纸、政务公开栏目等多种渠道进行公开，并在政务服务大厅、图书馆等场所设立政务公开体验区，为公众获取政府信息提供便利。</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13" w:afterLines="100" w:afterAutospacing="0" w:line="600" w:lineRule="exact"/>
        <w:ind w:left="0" w:right="0" w:firstLine="420" w:firstLineChars="200"/>
        <w:jc w:val="left"/>
        <w:textAlignment w:val="auto"/>
        <w:rPr>
          <w:rFonts w:hint="default" w:ascii="Times New Roman" w:hAnsi="Times New Roman" w:eastAsia="微软雅黑" w:cs="Times New Roman"/>
          <w:i w:val="0"/>
          <w:caps w:val="0"/>
          <w:color w:val="333333"/>
          <w:spacing w:val="0"/>
          <w:sz w:val="17"/>
          <w:szCs w:val="17"/>
        </w:rPr>
      </w:pPr>
      <w:r>
        <w:rPr>
          <w:rFonts w:hint="default" w:ascii="Times New Roman" w:hAnsi="Times New Roman" w:cs="Times New Roman"/>
        </w:rPr>
        <w:drawing>
          <wp:anchor distT="0" distB="0" distL="114300" distR="114300" simplePos="0" relativeHeight="251667456" behindDoc="0" locked="0" layoutInCell="1" allowOverlap="1">
            <wp:simplePos x="0" y="0"/>
            <wp:positionH relativeFrom="column">
              <wp:posOffset>-62865</wp:posOffset>
            </wp:positionH>
            <wp:positionV relativeFrom="paragraph">
              <wp:posOffset>173355</wp:posOffset>
            </wp:positionV>
            <wp:extent cx="5270500" cy="2627630"/>
            <wp:effectExtent l="0" t="0" r="0" b="1270"/>
            <wp:wrapTopAndBottom/>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7"/>
                    <a:stretch>
                      <a:fillRect/>
                    </a:stretch>
                  </pic:blipFill>
                  <pic:spPr>
                    <a:xfrm>
                      <a:off x="0" y="0"/>
                      <a:ext cx="5270500" cy="2627630"/>
                    </a:xfrm>
                    <a:prstGeom prst="rect">
                      <a:avLst/>
                    </a:prstGeom>
                    <a:noFill/>
                    <a:ln>
                      <a:noFill/>
                    </a:ln>
                  </pic:spPr>
                </pic:pic>
              </a:graphicData>
            </a:graphic>
          </wp:anchor>
        </w:drawing>
      </w:r>
      <w:r>
        <w:rPr>
          <w:rFonts w:hint="default" w:ascii="Times New Roman" w:hAnsi="Times New Roman" w:eastAsia="黑体" w:cs="Times New Roman"/>
          <w:i w:val="0"/>
          <w:caps w:val="0"/>
          <w:color w:val="333333"/>
          <w:spacing w:val="0"/>
          <w:kern w:val="0"/>
          <w:sz w:val="32"/>
          <w:szCs w:val="32"/>
          <w:shd w:val="clear" w:fill="FFFFFF"/>
          <w:lang w:val="en-US" w:eastAsia="zh-CN" w:bidi="ar"/>
        </w:rPr>
        <w:t>（五）监督保障方面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13" w:afterLines="100" w:afterAutospacing="0" w:line="600" w:lineRule="exact"/>
        <w:ind w:left="0" w:right="0" w:firstLine="643" w:firstLineChars="200"/>
        <w:jc w:val="left"/>
        <w:textAlignment w:val="auto"/>
        <w:rPr>
          <w:rFonts w:hint="default" w:ascii="Times New Roman" w:hAnsi="Times New Roman" w:eastAsia="微软雅黑" w:cs="Times New Roman"/>
          <w:i w:val="0"/>
          <w:caps w:val="0"/>
          <w:color w:val="333333"/>
          <w:spacing w:val="0"/>
          <w:sz w:val="17"/>
          <w:szCs w:val="17"/>
        </w:rPr>
      </w:pPr>
      <w:r>
        <w:rPr>
          <w:rFonts w:hint="default" w:ascii="Times New Roman" w:hAnsi="Times New Roman" w:eastAsia="仿宋_GB2312" w:cs="Times New Roman"/>
          <w:b/>
          <w:bCs/>
          <w:i w:val="0"/>
          <w:caps w:val="0"/>
          <w:color w:val="000000"/>
          <w:spacing w:val="0"/>
          <w:kern w:val="0"/>
          <w:sz w:val="32"/>
          <w:szCs w:val="32"/>
          <w:shd w:val="clear" w:fill="FFFFFF"/>
          <w:lang w:val="en-US" w:eastAsia="zh-CN" w:bidi="ar"/>
        </w:rPr>
        <w:t>一是</w:t>
      </w:r>
      <w:r>
        <w:rPr>
          <w:rFonts w:hint="default" w:ascii="Times New Roman" w:hAnsi="Times New Roman" w:eastAsia="仿宋_GB2312" w:cs="Times New Roman"/>
          <w:b/>
          <w:bCs/>
          <w:i w:val="0"/>
          <w:caps w:val="0"/>
          <w:color w:val="333333"/>
          <w:spacing w:val="0"/>
          <w:kern w:val="0"/>
          <w:sz w:val="32"/>
          <w:szCs w:val="32"/>
          <w:shd w:val="clear" w:fill="FFFFFF"/>
          <w:lang w:val="en-US" w:eastAsia="zh-CN" w:bidi="ar"/>
        </w:rPr>
        <w:t>加大考核督查力度。</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印发《沂南县政务公开工作考核实施方案》，采取日常考核与年底考核相结合方式，全面考核各相关单位政务公开工作</w:t>
      </w:r>
      <w:r>
        <w:rPr>
          <w:rFonts w:hint="eastAsia" w:eastAsia="仿宋_GB2312" w:cs="Times New Roman"/>
          <w:i w:val="0"/>
          <w:caps w:val="0"/>
          <w:color w:val="333333"/>
          <w:spacing w:val="0"/>
          <w:kern w:val="0"/>
          <w:sz w:val="32"/>
          <w:szCs w:val="32"/>
          <w:shd w:val="clear" w:fill="FFFFFF"/>
          <w:lang w:val="en-US" w:eastAsia="zh-CN" w:bidi="ar"/>
        </w:rPr>
        <w:t>，并将2019年度各乡镇（街道、开发区）、县直各部门政务公开工作考核结果以县政府办公室名义在全县政府系统进行通报</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。建立工作台账，对各单位信息公开情况定期调度通报，对重点领域信息公开情况等开展专项督查，推动各项任务落实。</w:t>
      </w:r>
      <w:r>
        <w:rPr>
          <w:rFonts w:hint="eastAsia" w:eastAsia="仿宋_GB2312" w:cs="Times New Roman"/>
          <w:i w:val="0"/>
          <w:caps w:val="0"/>
          <w:color w:val="333333"/>
          <w:spacing w:val="0"/>
          <w:kern w:val="0"/>
          <w:sz w:val="32"/>
          <w:szCs w:val="32"/>
          <w:shd w:val="clear" w:fill="FFFFFF"/>
          <w:lang w:val="en-US" w:eastAsia="zh-CN" w:bidi="ar"/>
        </w:rPr>
        <w:t>与第三方专业评估机构签订服务协议，以问题为导向进行整改。2019年，根据</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《沂南县政务公开工作考核实施方案》</w:t>
      </w:r>
      <w:r>
        <w:rPr>
          <w:rFonts w:hint="eastAsia" w:eastAsia="仿宋_GB2312" w:cs="Times New Roman"/>
          <w:i w:val="0"/>
          <w:caps w:val="0"/>
          <w:color w:val="333333"/>
          <w:spacing w:val="0"/>
          <w:kern w:val="0"/>
          <w:sz w:val="32"/>
          <w:szCs w:val="32"/>
          <w:shd w:val="clear" w:fill="FFFFFF"/>
          <w:lang w:val="en-US" w:eastAsia="zh-CN" w:bidi="ar"/>
        </w:rPr>
        <w:t>和《沂南县政府信息公开工作责任追究办法》，</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先后对年报发布、一季度公开工作开展情况、网站内容保障、第三方反馈问题整改等开展专项督导</w:t>
      </w:r>
      <w:r>
        <w:rPr>
          <w:rFonts w:hint="default" w:ascii="Times New Roman" w:hAnsi="Times New Roman" w:eastAsia="微软雅黑" w:cs="Times New Roman"/>
          <w:i w:val="0"/>
          <w:caps w:val="0"/>
          <w:color w:val="333333"/>
          <w:spacing w:val="0"/>
          <w:kern w:val="0"/>
          <w:sz w:val="32"/>
          <w:szCs w:val="32"/>
          <w:shd w:val="clear" w:fill="FFFFFF"/>
          <w:lang w:val="en-US" w:eastAsia="zh-CN" w:bidi="ar"/>
        </w:rPr>
        <w:t>6</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次，下发通报</w:t>
      </w:r>
      <w:r>
        <w:rPr>
          <w:rFonts w:hint="default" w:ascii="Times New Roman" w:hAnsi="Times New Roman" w:eastAsia="微软雅黑" w:cs="Times New Roman"/>
          <w:i w:val="0"/>
          <w:caps w:val="0"/>
          <w:color w:val="333333"/>
          <w:spacing w:val="0"/>
          <w:kern w:val="0"/>
          <w:sz w:val="32"/>
          <w:szCs w:val="32"/>
          <w:shd w:val="clear" w:fill="FFFFFF"/>
          <w:lang w:val="en-US" w:eastAsia="zh-CN" w:bidi="ar"/>
        </w:rPr>
        <w:t>7</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期，解决发现问题</w:t>
      </w:r>
      <w:r>
        <w:rPr>
          <w:rFonts w:hint="default" w:ascii="Times New Roman" w:hAnsi="Times New Roman" w:eastAsia="微软雅黑" w:cs="Times New Roman"/>
          <w:i w:val="0"/>
          <w:caps w:val="0"/>
          <w:color w:val="333333"/>
          <w:spacing w:val="0"/>
          <w:kern w:val="0"/>
          <w:sz w:val="32"/>
          <w:szCs w:val="32"/>
          <w:shd w:val="clear" w:fill="FFFFFF"/>
          <w:lang w:val="en-US" w:eastAsia="zh-CN" w:bidi="ar"/>
        </w:rPr>
        <w:t>300</w:t>
      </w:r>
      <w:r>
        <w:rPr>
          <w:rFonts w:hint="default" w:ascii="Times New Roman" w:hAnsi="Times New Roman" w:eastAsia="仿宋_GB2312" w:cs="Times New Roman"/>
          <w:i w:val="0"/>
          <w:caps w:val="0"/>
          <w:color w:val="333333"/>
          <w:spacing w:val="0"/>
          <w:kern w:val="0"/>
          <w:sz w:val="32"/>
          <w:szCs w:val="32"/>
          <w:shd w:val="clear" w:fill="FFFFFF"/>
          <w:lang w:val="en-US" w:eastAsia="zh-CN" w:bidi="ar"/>
        </w:rPr>
        <w:t>余项。</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13" w:afterLines="100" w:afterAutospacing="0" w:line="600" w:lineRule="exact"/>
        <w:ind w:left="0" w:right="0" w:firstLine="643"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b/>
          <w:bCs/>
          <w:i w:val="0"/>
          <w:caps w:val="0"/>
          <w:color w:val="000000"/>
          <w:spacing w:val="0"/>
          <w:kern w:val="0"/>
          <w:sz w:val="32"/>
          <w:szCs w:val="32"/>
          <w:shd w:val="clear" w:fill="FFFFFF"/>
          <w:lang w:val="en-US" w:eastAsia="zh-CN" w:bidi="ar"/>
        </w:rPr>
        <w:t>二是强化业务培训指导。</w:t>
      </w:r>
      <w:r>
        <w:rPr>
          <w:rFonts w:hint="default" w:ascii="Times New Roman" w:hAnsi="Times New Roman" w:eastAsia="仿宋_GB2312" w:cs="Times New Roman"/>
          <w:i w:val="0"/>
          <w:caps w:val="0"/>
          <w:color w:val="000000"/>
          <w:spacing w:val="0"/>
          <w:kern w:val="0"/>
          <w:sz w:val="32"/>
          <w:szCs w:val="32"/>
          <w:shd w:val="clear" w:fill="FFFFFF"/>
          <w:lang w:val="en-US" w:eastAsia="zh-CN" w:bidi="ar"/>
        </w:rPr>
        <w:t>将政务公开培训纳入全县领导干部培训计划并加以落实，邀请政务公开方面专家对县级领导班子、县直各部门和各乡镇主要负责人、分管负责人和业务人员进行全覆盖培训。加强业务指导，结合新修订的《政府信息公开条例》，建立“一对一”业务指导，就政务公开重点领域信息公开中存在问题进行研究，确保重点工作有序开展。</w:t>
      </w:r>
      <w:r>
        <w:rPr>
          <w:rFonts w:hint="default" w:ascii="Times New Roman" w:hAnsi="Times New Roman" w:eastAsia="微软雅黑" w:cs="Times New Roman"/>
          <w:i w:val="0"/>
          <w:caps w:val="0"/>
          <w:color w:val="000000"/>
          <w:spacing w:val="0"/>
          <w:kern w:val="0"/>
          <w:sz w:val="32"/>
          <w:szCs w:val="32"/>
          <w:shd w:val="clear" w:fill="FFFFFF"/>
          <w:lang w:val="en-US" w:eastAsia="zh-CN" w:bidi="ar"/>
        </w:rPr>
        <w:t>2019</w:t>
      </w:r>
      <w:r>
        <w:rPr>
          <w:rFonts w:hint="default" w:ascii="Times New Roman" w:hAnsi="Times New Roman" w:eastAsia="仿宋_GB2312" w:cs="Times New Roman"/>
          <w:i w:val="0"/>
          <w:caps w:val="0"/>
          <w:color w:val="000000"/>
          <w:spacing w:val="0"/>
          <w:kern w:val="0"/>
          <w:sz w:val="32"/>
          <w:szCs w:val="32"/>
          <w:shd w:val="clear" w:fill="FFFFFF"/>
          <w:lang w:val="en-US" w:eastAsia="zh-CN" w:bidi="ar"/>
        </w:rPr>
        <w:t>年，共组织召开各类政务公开培训会议</w:t>
      </w:r>
      <w:r>
        <w:rPr>
          <w:rFonts w:hint="default" w:ascii="Times New Roman" w:hAnsi="Times New Roman" w:eastAsia="微软雅黑" w:cs="Times New Roman"/>
          <w:i w:val="0"/>
          <w:caps w:val="0"/>
          <w:color w:val="000000"/>
          <w:spacing w:val="0"/>
          <w:kern w:val="0"/>
          <w:sz w:val="32"/>
          <w:szCs w:val="32"/>
          <w:shd w:val="clear" w:fill="FFFFFF"/>
          <w:lang w:val="en-US" w:eastAsia="zh-CN" w:bidi="ar"/>
        </w:rPr>
        <w:t>5</w:t>
      </w:r>
      <w:r>
        <w:rPr>
          <w:rFonts w:hint="default" w:ascii="Times New Roman" w:hAnsi="Times New Roman" w:eastAsia="仿宋_GB2312" w:cs="Times New Roman"/>
          <w:i w:val="0"/>
          <w:caps w:val="0"/>
          <w:color w:val="000000"/>
          <w:spacing w:val="0"/>
          <w:kern w:val="0"/>
          <w:sz w:val="32"/>
          <w:szCs w:val="32"/>
          <w:shd w:val="clear" w:fill="FFFFFF"/>
          <w:lang w:val="en-US" w:eastAsia="zh-CN" w:bidi="ar"/>
        </w:rPr>
        <w:t>次，覆盖参训人员</w:t>
      </w:r>
      <w:r>
        <w:rPr>
          <w:rFonts w:hint="default" w:ascii="Times New Roman" w:hAnsi="Times New Roman" w:eastAsia="微软雅黑" w:cs="Times New Roman"/>
          <w:i w:val="0"/>
          <w:caps w:val="0"/>
          <w:color w:val="000000"/>
          <w:spacing w:val="0"/>
          <w:kern w:val="0"/>
          <w:sz w:val="32"/>
          <w:szCs w:val="32"/>
          <w:shd w:val="clear" w:fill="FFFFFF"/>
          <w:lang w:val="en-US" w:eastAsia="zh-CN" w:bidi="ar"/>
        </w:rPr>
        <w:t>200</w:t>
      </w:r>
      <w:r>
        <w:rPr>
          <w:rFonts w:hint="default" w:ascii="Times New Roman" w:hAnsi="Times New Roman" w:eastAsia="仿宋_GB2312" w:cs="Times New Roman"/>
          <w:i w:val="0"/>
          <w:caps w:val="0"/>
          <w:color w:val="000000"/>
          <w:spacing w:val="0"/>
          <w:kern w:val="0"/>
          <w:sz w:val="32"/>
          <w:szCs w:val="32"/>
          <w:shd w:val="clear" w:fill="FFFFFF"/>
          <w:lang w:val="en-US" w:eastAsia="zh-CN" w:bidi="ar"/>
        </w:rPr>
        <w:t>余人次。</w:t>
      </w:r>
    </w:p>
    <w:p>
      <w:pPr>
        <w:adjustRightInd w:val="0"/>
        <w:snapToGrid w:val="0"/>
        <w:spacing w:before="600" w:after="600" w:line="600" w:lineRule="exact"/>
        <w:ind w:firstLine="840" w:firstLineChars="200"/>
        <w:rPr>
          <w:rFonts w:hint="default" w:ascii="Times New Roman" w:hAnsi="Times New Roman" w:eastAsia="黑体" w:cs="Times New Roman"/>
          <w:sz w:val="42"/>
          <w:szCs w:val="42"/>
        </w:rPr>
      </w:pPr>
      <w:r>
        <w:rPr>
          <w:rFonts w:hint="default" w:ascii="Times New Roman" w:hAnsi="Times New Roman" w:eastAsia="黑体" w:cs="Times New Roman"/>
          <w:sz w:val="42"/>
          <w:szCs w:val="42"/>
        </w:rPr>
        <w:t>二、主动公开政府信息情况</w:t>
      </w:r>
    </w:p>
    <w:tbl>
      <w:tblPr>
        <w:tblStyle w:val="7"/>
        <w:tblW w:w="9042" w:type="dxa"/>
        <w:jc w:val="center"/>
        <w:tblLayout w:type="fixed"/>
        <w:tblCellMar>
          <w:top w:w="0" w:type="dxa"/>
          <w:left w:w="0" w:type="dxa"/>
          <w:bottom w:w="0" w:type="dxa"/>
          <w:right w:w="0" w:type="dxa"/>
        </w:tblCellMar>
      </w:tblPr>
      <w:tblGrid>
        <w:gridCol w:w="3455"/>
        <w:gridCol w:w="2087"/>
        <w:gridCol w:w="1411"/>
        <w:gridCol w:w="2089"/>
      </w:tblGrid>
      <w:tr>
        <w:tblPrEx>
          <w:tblCellMar>
            <w:top w:w="0" w:type="dxa"/>
            <w:left w:w="0" w:type="dxa"/>
            <w:bottom w:w="0" w:type="dxa"/>
            <w:right w:w="0" w:type="dxa"/>
          </w:tblCellMar>
        </w:tblPrEx>
        <w:trPr>
          <w:trHeight w:val="518" w:hRule="atLeast"/>
          <w:jc w:val="center"/>
        </w:trPr>
        <w:tc>
          <w:tcPr>
            <w:tcW w:w="9042" w:type="dxa"/>
            <w:gridSpan w:val="4"/>
            <w:tcBorders>
              <w:top w:val="single" w:color="auto" w:sz="8" w:space="0"/>
              <w:left w:val="single" w:color="auto" w:sz="8" w:space="0"/>
              <w:bottom w:val="single" w:color="auto" w:sz="8" w:space="0"/>
              <w:right w:val="single" w:color="auto" w:sz="8" w:space="0"/>
            </w:tcBorders>
            <w:shd w:val="clear" w:color="auto" w:fill="C6D9F1"/>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4"/>
                <w:szCs w:val="24"/>
              </w:rPr>
              <w:t>第二十条第（一）项</w:t>
            </w:r>
          </w:p>
        </w:tc>
      </w:tr>
      <w:tr>
        <w:tblPrEx>
          <w:tblCellMar>
            <w:top w:w="0" w:type="dxa"/>
            <w:left w:w="0" w:type="dxa"/>
            <w:bottom w:w="0" w:type="dxa"/>
            <w:right w:w="0" w:type="dxa"/>
          </w:tblCellMar>
        </w:tblPrEx>
        <w:trPr>
          <w:trHeight w:val="907"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color w:val="000000"/>
                <w:kern w:val="0"/>
                <w:sz w:val="22"/>
                <w:szCs w:val="22"/>
              </w:rPr>
              <w:t>信息内容</w:t>
            </w:r>
          </w:p>
        </w:tc>
        <w:tc>
          <w:tcPr>
            <w:tcW w:w="208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color w:val="000000"/>
                <w:kern w:val="0"/>
                <w:sz w:val="22"/>
                <w:szCs w:val="22"/>
              </w:rPr>
              <w:t>本年新</w:t>
            </w:r>
            <w:r>
              <w:rPr>
                <w:rFonts w:hint="default" w:ascii="Times New Roman" w:hAnsi="Times New Roman" w:cs="Times New Roman"/>
                <w:color w:val="000000"/>
                <w:kern w:val="0"/>
                <w:sz w:val="22"/>
                <w:szCs w:val="22"/>
              </w:rPr>
              <w:br w:type="textWrapping"/>
            </w:r>
            <w:r>
              <w:rPr>
                <w:rFonts w:hint="default" w:ascii="Times New Roman" w:hAnsi="Times New Roman" w:cs="Times New Roman"/>
                <w:kern w:val="0"/>
                <w:sz w:val="22"/>
                <w:szCs w:val="22"/>
              </w:rPr>
              <w:t>制作数量</w:t>
            </w:r>
          </w:p>
        </w:tc>
        <w:tc>
          <w:tcPr>
            <w:tcW w:w="141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color w:val="000000"/>
                <w:kern w:val="0"/>
                <w:sz w:val="22"/>
                <w:szCs w:val="22"/>
              </w:rPr>
              <w:t>本年新</w:t>
            </w:r>
            <w:r>
              <w:rPr>
                <w:rFonts w:hint="default" w:ascii="Times New Roman" w:hAnsi="Times New Roman" w:cs="Times New Roman"/>
                <w:color w:val="000000"/>
                <w:kern w:val="0"/>
                <w:sz w:val="22"/>
                <w:szCs w:val="22"/>
              </w:rPr>
              <w:br w:type="textWrapping"/>
            </w:r>
            <w:r>
              <w:rPr>
                <w:rFonts w:hint="default" w:ascii="Times New Roman" w:hAnsi="Times New Roman" w:cs="Times New Roman"/>
                <w:kern w:val="0"/>
                <w:sz w:val="22"/>
                <w:szCs w:val="22"/>
              </w:rPr>
              <w:t>公开数量</w:t>
            </w:r>
          </w:p>
        </w:tc>
        <w:tc>
          <w:tcPr>
            <w:tcW w:w="208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color w:val="000000"/>
                <w:kern w:val="0"/>
                <w:sz w:val="22"/>
                <w:szCs w:val="22"/>
              </w:rPr>
              <w:t>对外公开总数量</w:t>
            </w:r>
          </w:p>
        </w:tc>
      </w:tr>
      <w:tr>
        <w:tblPrEx>
          <w:tblCellMar>
            <w:top w:w="0" w:type="dxa"/>
            <w:left w:w="0" w:type="dxa"/>
            <w:bottom w:w="0" w:type="dxa"/>
            <w:right w:w="0" w:type="dxa"/>
          </w:tblCellMar>
        </w:tblPrEx>
        <w:trPr>
          <w:trHeight w:val="546"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cs="Times New Roman"/>
                <w:color w:val="000000"/>
                <w:kern w:val="0"/>
                <w:sz w:val="22"/>
                <w:szCs w:val="22"/>
              </w:rPr>
              <w:t>规章</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0</w:t>
            </w:r>
          </w:p>
        </w:tc>
        <w:tc>
          <w:tcPr>
            <w:tcW w:w="14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0</w:t>
            </w:r>
          </w:p>
        </w:tc>
        <w:tc>
          <w:tcPr>
            <w:tcW w:w="208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0</w:t>
            </w:r>
          </w:p>
        </w:tc>
      </w:tr>
      <w:tr>
        <w:tblPrEx>
          <w:tblCellMar>
            <w:top w:w="0" w:type="dxa"/>
            <w:left w:w="0" w:type="dxa"/>
            <w:bottom w:w="0" w:type="dxa"/>
            <w:right w:w="0" w:type="dxa"/>
          </w:tblCellMar>
        </w:tblPrEx>
        <w:trPr>
          <w:trHeight w:val="515"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cs="Times New Roman"/>
                <w:color w:val="000000"/>
                <w:kern w:val="0"/>
                <w:sz w:val="22"/>
                <w:szCs w:val="22"/>
              </w:rPr>
              <w:t>规范性文件</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1</w:t>
            </w:r>
          </w:p>
        </w:tc>
        <w:tc>
          <w:tcPr>
            <w:tcW w:w="14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1</w:t>
            </w:r>
          </w:p>
        </w:tc>
        <w:tc>
          <w:tcPr>
            <w:tcW w:w="208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1</w:t>
            </w:r>
          </w:p>
        </w:tc>
      </w:tr>
      <w:tr>
        <w:tblPrEx>
          <w:tblCellMar>
            <w:top w:w="0" w:type="dxa"/>
            <w:left w:w="0" w:type="dxa"/>
            <w:bottom w:w="0" w:type="dxa"/>
            <w:right w:w="0" w:type="dxa"/>
          </w:tblCellMar>
        </w:tblPrEx>
        <w:trPr>
          <w:trHeight w:val="515" w:hRule="atLeast"/>
          <w:jc w:val="center"/>
        </w:trPr>
        <w:tc>
          <w:tcPr>
            <w:tcW w:w="9042" w:type="dxa"/>
            <w:gridSpan w:val="4"/>
            <w:tcBorders>
              <w:top w:val="nil"/>
              <w:left w:val="single" w:color="auto" w:sz="8" w:space="0"/>
              <w:bottom w:val="single" w:color="auto" w:sz="8" w:space="0"/>
              <w:right w:val="single" w:color="auto" w:sz="8" w:space="0"/>
            </w:tcBorders>
            <w:shd w:val="clear" w:color="auto" w:fill="C6D9F1"/>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4"/>
                <w:szCs w:val="24"/>
              </w:rPr>
              <w:t>第二十条第（五）项</w:t>
            </w:r>
          </w:p>
        </w:tc>
      </w:tr>
      <w:tr>
        <w:tblPrEx>
          <w:tblCellMar>
            <w:top w:w="0" w:type="dxa"/>
            <w:left w:w="0" w:type="dxa"/>
            <w:bottom w:w="0" w:type="dxa"/>
            <w:right w:w="0" w:type="dxa"/>
          </w:tblCellMar>
        </w:tblPrEx>
        <w:trPr>
          <w:trHeight w:val="657"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信息内容</w:t>
            </w:r>
          </w:p>
        </w:tc>
        <w:tc>
          <w:tcPr>
            <w:tcW w:w="208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上一年项目数量</w:t>
            </w:r>
          </w:p>
        </w:tc>
        <w:tc>
          <w:tcPr>
            <w:tcW w:w="141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本年增/减</w:t>
            </w:r>
          </w:p>
        </w:tc>
        <w:tc>
          <w:tcPr>
            <w:tcW w:w="208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处理决定数量</w:t>
            </w:r>
          </w:p>
        </w:tc>
      </w:tr>
      <w:tr>
        <w:tblPrEx>
          <w:tblCellMar>
            <w:top w:w="0" w:type="dxa"/>
            <w:left w:w="0" w:type="dxa"/>
            <w:bottom w:w="0" w:type="dxa"/>
            <w:right w:w="0" w:type="dxa"/>
          </w:tblCellMar>
        </w:tblPrEx>
        <w:trPr>
          <w:trHeight w:val="90"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行政许可</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238</w:t>
            </w:r>
          </w:p>
        </w:tc>
        <w:tc>
          <w:tcPr>
            <w:tcW w:w="14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增25，共263</w:t>
            </w:r>
          </w:p>
        </w:tc>
        <w:tc>
          <w:tcPr>
            <w:tcW w:w="208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27075</w:t>
            </w:r>
          </w:p>
        </w:tc>
      </w:tr>
      <w:tr>
        <w:tblPrEx>
          <w:tblCellMar>
            <w:top w:w="0" w:type="dxa"/>
            <w:left w:w="0" w:type="dxa"/>
            <w:bottom w:w="0" w:type="dxa"/>
            <w:right w:w="0" w:type="dxa"/>
          </w:tblCellMar>
        </w:tblPrEx>
        <w:trPr>
          <w:trHeight w:val="90"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其他对外管理服务事项</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eastAsia" w:cs="Times New Roman"/>
                <w:color w:val="000000"/>
                <w:kern w:val="0"/>
                <w:sz w:val="22"/>
                <w:szCs w:val="22"/>
                <w:lang w:val="en-US" w:eastAsia="zh-CN"/>
              </w:rPr>
              <w:t>4</w:t>
            </w:r>
            <w:r>
              <w:rPr>
                <w:rFonts w:hint="default" w:ascii="Times New Roman" w:hAnsi="Times New Roman" w:cs="Times New Roman"/>
                <w:color w:val="000000"/>
                <w:kern w:val="0"/>
                <w:sz w:val="22"/>
                <w:szCs w:val="22"/>
              </w:rPr>
              <w:t>79</w:t>
            </w:r>
          </w:p>
        </w:tc>
        <w:tc>
          <w:tcPr>
            <w:tcW w:w="14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增</w:t>
            </w:r>
            <w:r>
              <w:rPr>
                <w:rFonts w:hint="default" w:ascii="Times New Roman" w:hAnsi="Times New Roman" w:cs="Times New Roman"/>
                <w:color w:val="000000"/>
                <w:kern w:val="0"/>
                <w:sz w:val="22"/>
                <w:szCs w:val="22"/>
              </w:rPr>
              <w:t>38</w:t>
            </w:r>
            <w:r>
              <w:rPr>
                <w:rFonts w:hint="eastAsia" w:cs="Times New Roman"/>
                <w:color w:val="000000"/>
                <w:kern w:val="0"/>
                <w:sz w:val="22"/>
                <w:szCs w:val="22"/>
                <w:lang w:eastAsia="zh-CN"/>
              </w:rPr>
              <w:t>，</w:t>
            </w:r>
            <w:r>
              <w:rPr>
                <w:rFonts w:hint="eastAsia" w:cs="Times New Roman"/>
                <w:color w:val="000000"/>
                <w:kern w:val="0"/>
                <w:sz w:val="22"/>
                <w:szCs w:val="22"/>
                <w:lang w:val="en-US" w:eastAsia="zh-CN"/>
              </w:rPr>
              <w:t>共514</w:t>
            </w:r>
          </w:p>
        </w:tc>
        <w:tc>
          <w:tcPr>
            <w:tcW w:w="208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16383</w:t>
            </w:r>
          </w:p>
        </w:tc>
      </w:tr>
      <w:tr>
        <w:tblPrEx>
          <w:tblCellMar>
            <w:top w:w="0" w:type="dxa"/>
            <w:left w:w="0" w:type="dxa"/>
            <w:bottom w:w="0" w:type="dxa"/>
            <w:right w:w="0" w:type="dxa"/>
          </w:tblCellMar>
        </w:tblPrEx>
        <w:trPr>
          <w:trHeight w:val="515" w:hRule="atLeast"/>
          <w:jc w:val="center"/>
        </w:trPr>
        <w:tc>
          <w:tcPr>
            <w:tcW w:w="9042" w:type="dxa"/>
            <w:gridSpan w:val="4"/>
            <w:tcBorders>
              <w:top w:val="nil"/>
              <w:left w:val="single" w:color="auto" w:sz="8" w:space="0"/>
              <w:bottom w:val="single" w:color="auto" w:sz="8" w:space="0"/>
              <w:right w:val="single" w:color="auto" w:sz="8" w:space="0"/>
            </w:tcBorders>
            <w:shd w:val="clear" w:color="auto" w:fill="C6D9F1"/>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4"/>
                <w:szCs w:val="24"/>
              </w:rPr>
              <w:t>第二十条第（六）项</w:t>
            </w:r>
          </w:p>
        </w:tc>
      </w:tr>
      <w:tr>
        <w:tblPrEx>
          <w:tblCellMar>
            <w:top w:w="0" w:type="dxa"/>
            <w:left w:w="0" w:type="dxa"/>
            <w:bottom w:w="0" w:type="dxa"/>
            <w:right w:w="0" w:type="dxa"/>
          </w:tblCellMar>
        </w:tblPrEx>
        <w:trPr>
          <w:trHeight w:val="657"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信息内容</w:t>
            </w:r>
          </w:p>
        </w:tc>
        <w:tc>
          <w:tcPr>
            <w:tcW w:w="208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上一年项目数量</w:t>
            </w:r>
          </w:p>
        </w:tc>
        <w:tc>
          <w:tcPr>
            <w:tcW w:w="141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本年增/减</w:t>
            </w:r>
          </w:p>
        </w:tc>
        <w:tc>
          <w:tcPr>
            <w:tcW w:w="208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处理决定数量</w:t>
            </w:r>
          </w:p>
        </w:tc>
      </w:tr>
      <w:tr>
        <w:tblPrEx>
          <w:tblCellMar>
            <w:top w:w="0" w:type="dxa"/>
            <w:left w:w="0" w:type="dxa"/>
            <w:bottom w:w="0" w:type="dxa"/>
            <w:right w:w="0" w:type="dxa"/>
          </w:tblCellMar>
        </w:tblPrEx>
        <w:trPr>
          <w:trHeight w:val="812"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行政处罚</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2883</w:t>
            </w:r>
          </w:p>
        </w:tc>
        <w:tc>
          <w:tcPr>
            <w:tcW w:w="14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增176</w:t>
            </w:r>
            <w:r>
              <w:rPr>
                <w:rFonts w:hint="eastAsia" w:cs="Times New Roman"/>
                <w:color w:val="000000"/>
                <w:kern w:val="0"/>
                <w:sz w:val="22"/>
                <w:szCs w:val="22"/>
                <w:lang w:eastAsia="zh-CN"/>
              </w:rPr>
              <w:t>，</w:t>
            </w:r>
            <w:r>
              <w:rPr>
                <w:rFonts w:hint="eastAsia" w:cs="Times New Roman"/>
                <w:color w:val="000000"/>
                <w:kern w:val="0"/>
                <w:sz w:val="22"/>
                <w:szCs w:val="22"/>
                <w:lang w:val="en-US" w:eastAsia="zh-CN"/>
              </w:rPr>
              <w:t>共3059</w:t>
            </w:r>
          </w:p>
        </w:tc>
        <w:tc>
          <w:tcPr>
            <w:tcW w:w="208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9688</w:t>
            </w:r>
          </w:p>
        </w:tc>
      </w:tr>
      <w:tr>
        <w:tblPrEx>
          <w:tblCellMar>
            <w:top w:w="0" w:type="dxa"/>
            <w:left w:w="0" w:type="dxa"/>
            <w:bottom w:w="0" w:type="dxa"/>
            <w:right w:w="0" w:type="dxa"/>
          </w:tblCellMar>
        </w:tblPrEx>
        <w:trPr>
          <w:trHeight w:val="515"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行政强制</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132</w:t>
            </w:r>
          </w:p>
        </w:tc>
        <w:tc>
          <w:tcPr>
            <w:tcW w:w="14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增21</w:t>
            </w:r>
            <w:r>
              <w:rPr>
                <w:rFonts w:hint="eastAsia" w:cs="Times New Roman"/>
                <w:color w:val="000000"/>
                <w:kern w:val="0"/>
                <w:sz w:val="22"/>
                <w:szCs w:val="22"/>
                <w:lang w:eastAsia="zh-CN"/>
              </w:rPr>
              <w:t>，</w:t>
            </w:r>
            <w:r>
              <w:rPr>
                <w:rFonts w:hint="eastAsia" w:cs="Times New Roman"/>
                <w:color w:val="000000"/>
                <w:kern w:val="0"/>
                <w:sz w:val="22"/>
                <w:szCs w:val="22"/>
                <w:lang w:val="en-US" w:eastAsia="zh-CN"/>
              </w:rPr>
              <w:t>共163</w:t>
            </w:r>
          </w:p>
        </w:tc>
        <w:tc>
          <w:tcPr>
            <w:tcW w:w="208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127</w:t>
            </w:r>
          </w:p>
        </w:tc>
      </w:tr>
      <w:tr>
        <w:tblPrEx>
          <w:tblCellMar>
            <w:top w:w="0" w:type="dxa"/>
            <w:left w:w="0" w:type="dxa"/>
            <w:bottom w:w="0" w:type="dxa"/>
            <w:right w:w="0" w:type="dxa"/>
          </w:tblCellMar>
        </w:tblPrEx>
        <w:trPr>
          <w:trHeight w:val="515" w:hRule="atLeast"/>
          <w:jc w:val="center"/>
        </w:trPr>
        <w:tc>
          <w:tcPr>
            <w:tcW w:w="9042" w:type="dxa"/>
            <w:gridSpan w:val="4"/>
            <w:tcBorders>
              <w:top w:val="nil"/>
              <w:left w:val="single" w:color="auto" w:sz="8" w:space="0"/>
              <w:bottom w:val="single" w:color="auto" w:sz="8" w:space="0"/>
              <w:right w:val="single" w:color="auto" w:sz="8" w:space="0"/>
            </w:tcBorders>
            <w:shd w:val="clear" w:color="auto" w:fill="C6D9F1"/>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4"/>
                <w:szCs w:val="24"/>
              </w:rPr>
              <w:t>第二十条第（八）项</w:t>
            </w:r>
          </w:p>
        </w:tc>
      </w:tr>
      <w:tr>
        <w:tblPrEx>
          <w:tblCellMar>
            <w:top w:w="0" w:type="dxa"/>
            <w:left w:w="0" w:type="dxa"/>
            <w:bottom w:w="0" w:type="dxa"/>
            <w:right w:w="0" w:type="dxa"/>
          </w:tblCellMar>
        </w:tblPrEx>
        <w:trPr>
          <w:trHeight w:val="515"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信息内容</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上一年项目数量</w:t>
            </w:r>
          </w:p>
        </w:tc>
        <w:tc>
          <w:tcPr>
            <w:tcW w:w="3500" w:type="dxa"/>
            <w:gridSpan w:val="2"/>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本年增/减</w:t>
            </w:r>
          </w:p>
        </w:tc>
      </w:tr>
      <w:tr>
        <w:tblPrEx>
          <w:tblCellMar>
            <w:top w:w="0" w:type="dxa"/>
            <w:left w:w="0" w:type="dxa"/>
            <w:bottom w:w="0" w:type="dxa"/>
            <w:right w:w="0" w:type="dxa"/>
          </w:tblCellMar>
        </w:tblPrEx>
        <w:trPr>
          <w:trHeight w:val="574"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cs="Times New Roman"/>
              </w:rPr>
            </w:pPr>
            <w:r>
              <w:rPr>
                <w:rFonts w:hint="default" w:ascii="Times New Roman" w:hAnsi="Times New Roman" w:cs="Times New Roman"/>
                <w:color w:val="000000"/>
                <w:kern w:val="0"/>
                <w:sz w:val="22"/>
                <w:szCs w:val="22"/>
              </w:rPr>
              <w:t>行政事业性收费</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29</w:t>
            </w:r>
          </w:p>
        </w:tc>
        <w:tc>
          <w:tcPr>
            <w:tcW w:w="3500" w:type="dxa"/>
            <w:gridSpan w:val="2"/>
            <w:tcBorders>
              <w:top w:val="nil"/>
              <w:left w:val="nil"/>
              <w:bottom w:val="single" w:color="auto" w:sz="8" w:space="0"/>
              <w:right w:val="single" w:color="000000"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rPr>
            </w:pPr>
            <w:r>
              <w:rPr>
                <w:rFonts w:hint="eastAsia" w:cs="Times New Roman"/>
                <w:color w:val="000000"/>
                <w:kern w:val="0"/>
                <w:sz w:val="22"/>
                <w:szCs w:val="22"/>
                <w:lang w:val="en-US" w:eastAsia="zh-CN"/>
              </w:rPr>
              <w:t>减</w:t>
            </w:r>
            <w:r>
              <w:rPr>
                <w:rFonts w:hint="default" w:ascii="Times New Roman" w:hAnsi="Times New Roman" w:cs="Times New Roman"/>
                <w:color w:val="000000"/>
                <w:kern w:val="0"/>
                <w:sz w:val="22"/>
                <w:szCs w:val="22"/>
              </w:rPr>
              <w:t>1</w:t>
            </w:r>
            <w:r>
              <w:rPr>
                <w:rFonts w:hint="eastAsia" w:cs="Times New Roman"/>
                <w:color w:val="000000"/>
                <w:kern w:val="0"/>
                <w:sz w:val="22"/>
                <w:szCs w:val="22"/>
                <w:lang w:eastAsia="zh-CN"/>
              </w:rPr>
              <w:t>，</w:t>
            </w:r>
            <w:r>
              <w:rPr>
                <w:rFonts w:hint="eastAsia" w:cs="Times New Roman"/>
                <w:color w:val="000000"/>
                <w:kern w:val="0"/>
                <w:sz w:val="22"/>
                <w:szCs w:val="22"/>
                <w:lang w:val="en-US" w:eastAsia="zh-CN"/>
              </w:rPr>
              <w:t>共28</w:t>
            </w:r>
          </w:p>
        </w:tc>
      </w:tr>
      <w:tr>
        <w:tblPrEx>
          <w:tblCellMar>
            <w:top w:w="0" w:type="dxa"/>
            <w:left w:w="0" w:type="dxa"/>
            <w:bottom w:w="0" w:type="dxa"/>
            <w:right w:w="0" w:type="dxa"/>
          </w:tblCellMar>
        </w:tblPrEx>
        <w:trPr>
          <w:trHeight w:val="515" w:hRule="atLeast"/>
          <w:jc w:val="center"/>
        </w:trPr>
        <w:tc>
          <w:tcPr>
            <w:tcW w:w="9042" w:type="dxa"/>
            <w:gridSpan w:val="4"/>
            <w:tcBorders>
              <w:top w:val="nil"/>
              <w:left w:val="single" w:color="auto" w:sz="8" w:space="0"/>
              <w:bottom w:val="single" w:color="auto" w:sz="8" w:space="0"/>
              <w:right w:val="single" w:color="auto" w:sz="8" w:space="0"/>
            </w:tcBorders>
            <w:shd w:val="clear" w:color="auto" w:fill="C6D9F1"/>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4"/>
                <w:szCs w:val="24"/>
              </w:rPr>
              <w:t>第二十条第（九）项</w:t>
            </w:r>
          </w:p>
        </w:tc>
      </w:tr>
      <w:tr>
        <w:tblPrEx>
          <w:tblCellMar>
            <w:top w:w="0" w:type="dxa"/>
            <w:left w:w="0" w:type="dxa"/>
            <w:bottom w:w="0" w:type="dxa"/>
            <w:right w:w="0" w:type="dxa"/>
          </w:tblCellMar>
        </w:tblPrEx>
        <w:trPr>
          <w:trHeight w:val="608"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信息内容</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采购项目数量</w:t>
            </w:r>
          </w:p>
        </w:tc>
        <w:tc>
          <w:tcPr>
            <w:tcW w:w="3500" w:type="dxa"/>
            <w:gridSpan w:val="2"/>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采购总金额</w:t>
            </w:r>
          </w:p>
        </w:tc>
      </w:tr>
      <w:tr>
        <w:tblPrEx>
          <w:tblCellMar>
            <w:top w:w="0" w:type="dxa"/>
            <w:left w:w="0" w:type="dxa"/>
            <w:bottom w:w="0" w:type="dxa"/>
            <w:right w:w="0" w:type="dxa"/>
          </w:tblCellMar>
        </w:tblPrEx>
        <w:trPr>
          <w:trHeight w:val="608" w:hRule="atLeast"/>
          <w:jc w:val="center"/>
        </w:trPr>
        <w:tc>
          <w:tcPr>
            <w:tcW w:w="345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left"/>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color w:val="000000"/>
                <w:kern w:val="0"/>
                <w:sz w:val="22"/>
                <w:szCs w:val="22"/>
              </w:rPr>
              <w:t>政府集中采购</w:t>
            </w:r>
          </w:p>
        </w:tc>
        <w:tc>
          <w:tcPr>
            <w:tcW w:w="208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cs="Times New Roman"/>
                <w:color w:val="000000"/>
                <w:kern w:val="0"/>
                <w:sz w:val="22"/>
                <w:szCs w:val="22"/>
              </w:rPr>
              <w:t>349</w:t>
            </w:r>
          </w:p>
        </w:tc>
        <w:tc>
          <w:tcPr>
            <w:tcW w:w="3500" w:type="dxa"/>
            <w:gridSpan w:val="2"/>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eastAsia="宋体" w:cs="Times New Roman"/>
                <w:color w:val="000000"/>
                <w:kern w:val="0"/>
                <w:sz w:val="22"/>
                <w:szCs w:val="22"/>
                <w:lang w:val="en-US" w:eastAsia="zh-CN" w:bidi="ar-SA"/>
              </w:rPr>
            </w:pPr>
            <w:r>
              <w:rPr>
                <w:rFonts w:hint="default" w:ascii="Times New Roman" w:hAnsi="Times New Roman" w:cs="Times New Roman"/>
                <w:color w:val="000000"/>
                <w:kern w:val="0"/>
                <w:sz w:val="22"/>
                <w:szCs w:val="22"/>
              </w:rPr>
              <w:t>10.72亿元</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after="313" w:afterLines="100" w:line="600" w:lineRule="exact"/>
        <w:ind w:firstLine="840" w:firstLineChars="200"/>
        <w:textAlignment w:val="auto"/>
        <w:rPr>
          <w:rFonts w:hint="default" w:ascii="Times New Roman" w:hAnsi="Times New Roman" w:eastAsia="黑体" w:cs="Times New Roman"/>
          <w:sz w:val="42"/>
          <w:szCs w:val="42"/>
        </w:rPr>
      </w:pPr>
      <w:r>
        <w:rPr>
          <w:rFonts w:hint="default" w:ascii="Times New Roman" w:hAnsi="Times New Roman" w:eastAsia="黑体" w:cs="Times New Roman"/>
          <w:sz w:val="42"/>
          <w:szCs w:val="42"/>
          <w:lang w:val="en-US" w:eastAsia="zh-CN"/>
        </w:rPr>
        <w:t>三、</w:t>
      </w:r>
      <w:r>
        <w:rPr>
          <w:rFonts w:hint="default" w:ascii="Times New Roman" w:hAnsi="Times New Roman" w:eastAsia="黑体" w:cs="Times New Roman"/>
          <w:sz w:val="42"/>
          <w:szCs w:val="42"/>
        </w:rPr>
        <w:t>收到和处理政府信息公开申请情况</w:t>
      </w:r>
    </w:p>
    <w:tbl>
      <w:tblPr>
        <w:tblStyle w:val="7"/>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6"/>
        <w:gridCol w:w="854"/>
        <w:gridCol w:w="2086"/>
        <w:gridCol w:w="813"/>
        <w:gridCol w:w="755"/>
        <w:gridCol w:w="755"/>
        <w:gridCol w:w="813"/>
        <w:gridCol w:w="973"/>
        <w:gridCol w:w="711"/>
        <w:gridCol w:w="69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vMerge w:val="restart"/>
            <w:tcBorders>
              <w:top w:val="single" w:color="auto" w:sz="8" w:space="0"/>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（本列数据的勾稽关系为：第一项加第二项之和，等于第三项加第四项之和）</w:t>
            </w:r>
          </w:p>
        </w:tc>
        <w:tc>
          <w:tcPr>
            <w:tcW w:w="5515" w:type="dxa"/>
            <w:gridSpan w:val="7"/>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vMerge w:val="continue"/>
            <w:tcBorders>
              <w:top w:val="single" w:color="auto" w:sz="8" w:space="0"/>
              <w:left w:val="single" w:color="auto" w:sz="8" w:space="0"/>
              <w:bottom w:val="single" w:color="auto" w:sz="8" w:space="0"/>
              <w:right w:val="single" w:color="auto" w:sz="4"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13" w:type="dxa"/>
            <w:vMerge w:val="restart"/>
            <w:tcBorders>
              <w:top w:val="single" w:color="auto" w:sz="4" w:space="0"/>
              <w:left w:val="single" w:color="auto" w:sz="4"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自然人</w:t>
            </w:r>
          </w:p>
        </w:tc>
        <w:tc>
          <w:tcPr>
            <w:tcW w:w="4007" w:type="dxa"/>
            <w:gridSpan w:val="5"/>
            <w:tcBorders>
              <w:top w:val="single" w:color="auto" w:sz="4" w:space="0"/>
              <w:left w:val="nil"/>
              <w:bottom w:val="single" w:color="auto" w:sz="8" w:space="0"/>
              <w:right w:val="single" w:color="auto" w:sz="4"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法人或其他组织</w:t>
            </w:r>
          </w:p>
        </w:tc>
        <w:tc>
          <w:tcPr>
            <w:tcW w:w="695" w:type="dxa"/>
            <w:vMerge w:val="restart"/>
            <w:tcBorders>
              <w:top w:val="single" w:color="auto" w:sz="8" w:space="0"/>
              <w:left w:val="single" w:color="auto" w:sz="4"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vMerge w:val="continue"/>
            <w:tcBorders>
              <w:top w:val="single" w:color="auto" w:sz="8" w:space="0"/>
              <w:left w:val="single" w:color="auto" w:sz="8" w:space="0"/>
              <w:bottom w:val="single" w:color="auto" w:sz="8" w:space="0"/>
              <w:right w:val="single" w:color="auto" w:sz="4"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13" w:type="dxa"/>
            <w:vMerge w:val="continue"/>
            <w:tcBorders>
              <w:top w:val="nil"/>
              <w:left w:val="single" w:color="auto" w:sz="4" w:space="0"/>
              <w:bottom w:val="single" w:color="auto" w:sz="4"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755" w:type="dxa"/>
            <w:tcBorders>
              <w:top w:val="nil"/>
              <w:left w:val="nil"/>
              <w:bottom w:val="single" w:color="auto" w:sz="4"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商业企业</w:t>
            </w:r>
          </w:p>
        </w:tc>
        <w:tc>
          <w:tcPr>
            <w:tcW w:w="755" w:type="dxa"/>
            <w:tcBorders>
              <w:top w:val="nil"/>
              <w:left w:val="nil"/>
              <w:bottom w:val="single" w:color="auto" w:sz="4"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科研机构</w:t>
            </w:r>
          </w:p>
        </w:tc>
        <w:tc>
          <w:tcPr>
            <w:tcW w:w="813" w:type="dxa"/>
            <w:tcBorders>
              <w:top w:val="single" w:color="auto" w:sz="8" w:space="0"/>
              <w:left w:val="nil"/>
              <w:bottom w:val="single" w:color="auto" w:sz="4"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社会公益组织</w:t>
            </w:r>
          </w:p>
        </w:tc>
        <w:tc>
          <w:tcPr>
            <w:tcW w:w="973" w:type="dxa"/>
            <w:tcBorders>
              <w:top w:val="single" w:color="auto" w:sz="8" w:space="0"/>
              <w:left w:val="nil"/>
              <w:bottom w:val="single" w:color="auto" w:sz="4" w:space="0"/>
              <w:right w:val="single" w:color="auto" w:sz="4"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法律服务机构</w:t>
            </w:r>
          </w:p>
        </w:tc>
        <w:tc>
          <w:tcPr>
            <w:tcW w:w="711" w:type="dxa"/>
            <w:tcBorders>
              <w:top w:val="single" w:color="auto" w:sz="8" w:space="0"/>
              <w:left w:val="single" w:color="auto" w:sz="4"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其他</w:t>
            </w:r>
          </w:p>
        </w:tc>
        <w:tc>
          <w:tcPr>
            <w:tcW w:w="695" w:type="dxa"/>
            <w:vMerge w:val="continue"/>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cs="Times New Roman"/>
                <w:kern w:val="0"/>
                <w:sz w:val="22"/>
                <w:szCs w:val="22"/>
              </w:rPr>
              <w:t>一、本年新收政府信息公开申请数量</w:t>
            </w:r>
          </w:p>
        </w:tc>
        <w:tc>
          <w:tcPr>
            <w:tcW w:w="813"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34</w:t>
            </w:r>
          </w:p>
        </w:tc>
        <w:tc>
          <w:tcPr>
            <w:tcW w:w="755"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3</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37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cs="Times New Roman"/>
                <w:kern w:val="0"/>
                <w:sz w:val="22"/>
                <w:szCs w:val="22"/>
              </w:rPr>
              <w:t>二、上年结转政府信息公开申请数量</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1</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restart"/>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三、本年度办理结果</w:t>
            </w:r>
          </w:p>
        </w:tc>
        <w:tc>
          <w:tcPr>
            <w:tcW w:w="2940" w:type="dxa"/>
            <w:gridSpan w:val="2"/>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（一）予以公开</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29</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2</w:t>
            </w:r>
          </w:p>
        </w:tc>
        <w:tc>
          <w:tcPr>
            <w:tcW w:w="69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31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940" w:type="dxa"/>
            <w:gridSpan w:val="2"/>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（二）部分公开（区分处理的，只计这一情形，不计其他情形）</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restart"/>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（三）不予公开</w:t>
            </w: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1.属于国家秘密</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2.其他法律行政法规禁止公开</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3.危及“三安全一稳定”</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4.保护第三方合法权益</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5.属于三类内部事务信息</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4</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6.属于四类过程性信息</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7.属于行政执法案卷</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8.属于行政查询事项</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restart"/>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（四）无法提供</w:t>
            </w: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1.本机关不掌握相关政府信息</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2</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2.没有现成信息需要另行制作</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3.补正后申请内容仍不明确</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restart"/>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（五）不予处理</w:t>
            </w: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1.信访举报投诉类申请</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2.重复申请</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3.要求提供公开出版物</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4.无正当理由大量反复申请</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85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086"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5.要求行政机关确认或重新出具已获取信息</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940" w:type="dxa"/>
            <w:gridSpan w:val="2"/>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（六）其他处理</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2"/>
                <w:szCs w:val="22"/>
              </w:rPr>
            </w:pPr>
          </w:p>
        </w:tc>
        <w:tc>
          <w:tcPr>
            <w:tcW w:w="2940" w:type="dxa"/>
            <w:gridSpan w:val="2"/>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eastAsia="楷体" w:cs="Times New Roman"/>
                <w:kern w:val="0"/>
                <w:sz w:val="22"/>
                <w:szCs w:val="22"/>
              </w:rPr>
              <w:t>（七）总计</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35</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2</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sz w:val="22"/>
                <w:szCs w:val="22"/>
              </w:rPr>
              <w:t>37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left"/>
              <w:rPr>
                <w:rFonts w:hint="default" w:ascii="Times New Roman" w:hAnsi="Times New Roman" w:cs="Times New Roman"/>
                <w:sz w:val="22"/>
                <w:szCs w:val="22"/>
              </w:rPr>
            </w:pPr>
            <w:r>
              <w:rPr>
                <w:rFonts w:hint="default" w:ascii="Times New Roman" w:hAnsi="Times New Roman" w:cs="Times New Roman"/>
                <w:kern w:val="0"/>
                <w:sz w:val="22"/>
                <w:szCs w:val="22"/>
              </w:rPr>
              <w:t>四、结转下年度继续办理</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1</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5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81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97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71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sz w:val="22"/>
                <w:szCs w:val="22"/>
              </w:rPr>
            </w:pPr>
            <w:r>
              <w:rPr>
                <w:rFonts w:hint="default" w:ascii="Times New Roman" w:hAnsi="Times New Roman" w:cs="Times New Roman"/>
                <w:kern w:val="0"/>
                <w:sz w:val="22"/>
                <w:szCs w:val="22"/>
              </w:rPr>
              <w:t>0</w:t>
            </w:r>
          </w:p>
        </w:tc>
        <w:tc>
          <w:tcPr>
            <w:tcW w:w="695" w:type="dxa"/>
            <w:tcBorders>
              <w:top w:val="nil"/>
              <w:left w:val="nil"/>
              <w:bottom w:val="single" w:color="auto" w:sz="8" w:space="0"/>
              <w:right w:val="single" w:color="auto" w:sz="8" w:space="0"/>
            </w:tcBorders>
            <w:shd w:val="clear" w:color="auto" w:fill="auto"/>
            <w:tcMar>
              <w:left w:w="108" w:type="dxa"/>
              <w:right w:w="108" w:type="dxa"/>
            </w:tcMar>
            <w:vAlign w:val="center"/>
          </w:tcPr>
          <w:p>
            <w:pPr>
              <w:spacing w:line="380" w:lineRule="exact"/>
              <w:jc w:val="center"/>
              <w:rPr>
                <w:rFonts w:hint="default" w:ascii="Times New Roman" w:hAnsi="Times New Roman" w:cs="Times New Roman"/>
                <w:sz w:val="22"/>
                <w:szCs w:val="22"/>
              </w:rPr>
            </w:pPr>
            <w:r>
              <w:rPr>
                <w:rFonts w:hint="default" w:ascii="Times New Roman" w:hAnsi="Times New Roman" w:cs="Times New Roman"/>
                <w:sz w:val="22"/>
                <w:szCs w:val="22"/>
              </w:rPr>
              <w:t>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after="313" w:afterLines="100" w:line="600" w:lineRule="exact"/>
        <w:ind w:firstLine="840" w:firstLineChars="200"/>
        <w:textAlignment w:val="auto"/>
        <w:rPr>
          <w:rFonts w:hint="default" w:ascii="Times New Roman" w:hAnsi="Times New Roman" w:eastAsia="黑体" w:cs="Times New Roman"/>
          <w:sz w:val="42"/>
          <w:szCs w:val="42"/>
          <w:lang w:val="en-US" w:eastAsia="zh-CN"/>
        </w:rPr>
      </w:pPr>
      <w:r>
        <w:rPr>
          <w:rFonts w:hint="default" w:ascii="Times New Roman" w:hAnsi="Times New Roman" w:eastAsia="黑体" w:cs="Times New Roman"/>
          <w:sz w:val="42"/>
          <w:szCs w:val="42"/>
          <w:lang w:val="en-US" w:eastAsia="zh-CN"/>
        </w:rPr>
        <w:t>四、政府信息公开行政复议、行政诉讼情况</w:t>
      </w:r>
    </w:p>
    <w:tbl>
      <w:tblPr>
        <w:tblStyle w:val="7"/>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restart"/>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结果维持</w:t>
            </w:r>
          </w:p>
        </w:tc>
        <w:tc>
          <w:tcPr>
            <w:tcW w:w="604" w:type="dxa"/>
            <w:vMerge w:val="restart"/>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尚未审结</w:t>
            </w:r>
          </w:p>
        </w:tc>
        <w:tc>
          <w:tcPr>
            <w:tcW w:w="658" w:type="dxa"/>
            <w:vMerge w:val="restart"/>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总计</w:t>
            </w:r>
          </w:p>
        </w:tc>
        <w:tc>
          <w:tcPr>
            <w:tcW w:w="2970" w:type="dxa"/>
            <w:gridSpan w:val="5"/>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continue"/>
            <w:tcBorders>
              <w:top w:val="nil"/>
              <w:left w:val="single" w:color="auto" w:sz="8" w:space="0"/>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4"/>
                <w:szCs w:val="24"/>
              </w:rPr>
            </w:pPr>
          </w:p>
        </w:tc>
        <w:tc>
          <w:tcPr>
            <w:tcW w:w="604" w:type="dxa"/>
            <w:vMerge w:val="continue"/>
            <w:tcBorders>
              <w:top w:val="nil"/>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4"/>
                <w:szCs w:val="24"/>
              </w:rPr>
            </w:pPr>
          </w:p>
        </w:tc>
        <w:tc>
          <w:tcPr>
            <w:tcW w:w="604" w:type="dxa"/>
            <w:vMerge w:val="continue"/>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4"/>
                <w:szCs w:val="24"/>
              </w:rPr>
            </w:pPr>
          </w:p>
        </w:tc>
        <w:tc>
          <w:tcPr>
            <w:tcW w:w="604" w:type="dxa"/>
            <w:vMerge w:val="continue"/>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4"/>
                <w:szCs w:val="24"/>
              </w:rPr>
            </w:pPr>
          </w:p>
        </w:tc>
        <w:tc>
          <w:tcPr>
            <w:tcW w:w="658" w:type="dxa"/>
            <w:vMerge w:val="continue"/>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spacing w:line="380" w:lineRule="exact"/>
              <w:rPr>
                <w:rFonts w:hint="default" w:ascii="Times New Roman" w:hAnsi="Times New Roman" w:cs="Times New Roman"/>
                <w:sz w:val="24"/>
                <w:szCs w:val="24"/>
              </w:rPr>
            </w:pPr>
          </w:p>
        </w:tc>
        <w:tc>
          <w:tcPr>
            <w:tcW w:w="550"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结果维持</w:t>
            </w:r>
          </w:p>
        </w:tc>
        <w:tc>
          <w:tcPr>
            <w:tcW w:w="605" w:type="dxa"/>
            <w:tcBorders>
              <w:top w:val="nil"/>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其他结果</w:t>
            </w:r>
          </w:p>
        </w:tc>
        <w:tc>
          <w:tcPr>
            <w:tcW w:w="605"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尚未审结</w:t>
            </w:r>
          </w:p>
        </w:tc>
        <w:tc>
          <w:tcPr>
            <w:tcW w:w="605"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0"/>
                <w:szCs w:val="20"/>
              </w:rPr>
              <w:t>其他结果</w:t>
            </w:r>
          </w:p>
        </w:tc>
        <w:tc>
          <w:tcPr>
            <w:tcW w:w="606"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D8E8F5"/>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color w:val="000000"/>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16" w:hRule="atLeast"/>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rPr>
              <w:t>5</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rPr>
              <w:t>2</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rPr>
            </w:pPr>
            <w:r>
              <w:rPr>
                <w:rFonts w:hint="default" w:ascii="Times New Roman" w:hAnsi="Times New Roman" w:cs="Times New Roman"/>
              </w:rPr>
              <w:t>7</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2</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380" w:lineRule="exact"/>
              <w:jc w:val="center"/>
              <w:rPr>
                <w:rFonts w:hint="default" w:ascii="Times New Roman" w:hAnsi="Times New Roman" w:cs="Times New Roman"/>
                <w:kern w:val="0"/>
                <w:sz w:val="20"/>
                <w:szCs w:val="20"/>
              </w:rPr>
            </w:pPr>
            <w:r>
              <w:rPr>
                <w:rFonts w:hint="default" w:ascii="Times New Roman" w:hAnsi="Times New Roman" w:cs="Times New Roman"/>
                <w:kern w:val="0"/>
                <w:sz w:val="20"/>
                <w:szCs w:val="20"/>
              </w:rPr>
              <w:t>2</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after="313" w:afterLines="100" w:line="600" w:lineRule="exact"/>
        <w:ind w:firstLine="840" w:firstLineChars="200"/>
        <w:textAlignment w:val="auto"/>
        <w:rPr>
          <w:rFonts w:hint="default" w:ascii="Times New Roman" w:hAnsi="Times New Roman" w:eastAsia="黑体" w:cs="Times New Roman"/>
          <w:sz w:val="42"/>
          <w:szCs w:val="42"/>
          <w:lang w:val="en-US" w:eastAsia="zh-CN"/>
        </w:rPr>
      </w:pPr>
      <w:r>
        <w:rPr>
          <w:rFonts w:hint="default" w:ascii="Times New Roman" w:hAnsi="Times New Roman" w:eastAsia="黑体" w:cs="Times New Roman"/>
          <w:sz w:val="42"/>
          <w:szCs w:val="42"/>
          <w:lang w:val="en-US" w:eastAsia="zh-CN"/>
        </w:rPr>
        <w:t>五、存在的主要问题及改进情况</w:t>
      </w:r>
    </w:p>
    <w:p>
      <w:pPr>
        <w:keepNext w:val="0"/>
        <w:keepLines w:val="0"/>
        <w:pageBreakBefore w:val="0"/>
        <w:widowControl w:val="0"/>
        <w:kinsoku/>
        <w:wordWrap/>
        <w:overflowPunct/>
        <w:topLinePunct w:val="0"/>
        <w:autoSpaceDE/>
        <w:autoSpaceDN/>
        <w:bidi w:val="0"/>
        <w:spacing w:before="313" w:beforeLines="100" w:after="313" w:afterLines="100" w:line="60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lang w:val="en-US" w:eastAsia="zh-CN"/>
        </w:rPr>
        <w:t>一</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lang w:val="en-US" w:eastAsia="zh-CN"/>
        </w:rPr>
        <w:t>存在问题</w:t>
      </w:r>
    </w:p>
    <w:p>
      <w:pPr>
        <w:keepNext w:val="0"/>
        <w:keepLines w:val="0"/>
        <w:pageBreakBefore w:val="0"/>
        <w:widowControl w:val="0"/>
        <w:kinsoku/>
        <w:wordWrap/>
        <w:overflowPunct/>
        <w:topLinePunct w:val="0"/>
        <w:autoSpaceDE/>
        <w:autoSpaceDN/>
        <w:bidi w:val="0"/>
        <w:spacing w:before="313" w:beforeLines="100" w:after="313" w:afterLines="100"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eastAsia="zh-CN"/>
        </w:rPr>
        <w:t>一是政府信息公开的主动性仍需加强。</w:t>
      </w:r>
      <w:r>
        <w:rPr>
          <w:rFonts w:hint="default" w:ascii="Times New Roman" w:hAnsi="Times New Roman" w:eastAsia="仿宋_GB2312" w:cs="Times New Roman"/>
          <w:sz w:val="32"/>
          <w:szCs w:val="32"/>
          <w:lang w:eastAsia="zh-CN"/>
        </w:rPr>
        <w:t>各单位在政府信息公开主动性方面有所加强，在认识上有所提高，但是在具体落实过程中依然存在不愿公开，不敢公开的情况，特别是对群众利益有所涉及的房屋征收等信息公开的力度还不够，有时候过多依靠在村居公告栏等途径公开信息，在政府网站公开的相对较少</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600" w:lineRule="exact"/>
        <w:ind w:firstLine="643"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二是政府信息公开平台还需优化。</w:t>
      </w:r>
      <w:r>
        <w:rPr>
          <w:rFonts w:hint="default" w:ascii="Times New Roman" w:hAnsi="Times New Roman" w:eastAsia="仿宋_GB2312" w:cs="Times New Roman"/>
          <w:sz w:val="32"/>
          <w:szCs w:val="32"/>
          <w:lang w:eastAsia="zh-CN"/>
        </w:rPr>
        <w:t>随着国办及各级加强对政府网站规范化建设的要求越来越多，县级政府网站在内容布局、栏目设置方面与各级要求还有差距，在方面群众查阅检索信息方面还有不足，在栏目归集归类方面有待加强，在政策解读方面还需提高。</w:t>
      </w:r>
    </w:p>
    <w:p>
      <w:pPr>
        <w:keepNext w:val="0"/>
        <w:keepLines w:val="0"/>
        <w:pageBreakBefore w:val="0"/>
        <w:widowControl w:val="0"/>
        <w:kinsoku/>
        <w:wordWrap/>
        <w:overflowPunct/>
        <w:topLinePunct w:val="0"/>
        <w:autoSpaceDE/>
        <w:autoSpaceDN/>
        <w:bidi w:val="0"/>
        <w:adjustRightInd/>
        <w:snapToGrid/>
        <w:spacing w:before="313" w:beforeLines="100" w:after="313" w:afterLines="100"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eastAsia="zh-CN"/>
        </w:rPr>
        <w:t>三是政府信息公开考核和监督检查工作力度不够。</w:t>
      </w:r>
      <w:r>
        <w:rPr>
          <w:rFonts w:hint="default" w:ascii="Times New Roman" w:hAnsi="Times New Roman" w:eastAsia="仿宋_GB2312" w:cs="Times New Roman"/>
          <w:sz w:val="32"/>
          <w:szCs w:val="32"/>
          <w:lang w:eastAsia="zh-CN"/>
        </w:rPr>
        <w:t>对公开工作功夫在平时的认识不够，有推一推动一动的现象，特别是每次通报下发后，各单位紧张一时，公开信息力度有所加强，随着时间推移力度有所衰减，第一时间公开信息的观念不强，为群众发布信息、解读信息的主动性不够。</w:t>
      </w:r>
    </w:p>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after="313" w:afterLines="100" w:line="600" w:lineRule="exact"/>
        <w:ind w:left="0" w:leftChars="0" w:firstLine="640" w:firstLineChars="200"/>
        <w:textAlignment w:val="auto"/>
        <w:rPr>
          <w:rFonts w:hint="default" w:ascii="Times New Roman" w:hAnsi="Times New Roman" w:eastAsia="黑体" w:cs="Times New Roman"/>
          <w:sz w:val="32"/>
          <w:szCs w:val="32"/>
          <w:lang w:val="en-US" w:eastAsia="zh-CN"/>
        </w:rPr>
      </w:pPr>
      <w:r>
        <w:rPr>
          <w:rFonts w:hint="eastAsia" w:eastAsia="黑体" w:cs="Times New Roman"/>
          <w:sz w:val="32"/>
          <w:szCs w:val="32"/>
          <w:lang w:val="en-US" w:eastAsia="zh-CN"/>
        </w:rPr>
        <w:t>改进情况</w:t>
      </w:r>
    </w:p>
    <w:p>
      <w:pPr>
        <w:keepNext w:val="0"/>
        <w:keepLines w:val="0"/>
        <w:pageBreakBefore w:val="0"/>
        <w:widowControl w:val="0"/>
        <w:kinsoku/>
        <w:wordWrap/>
        <w:overflowPunct/>
        <w:topLinePunct w:val="0"/>
        <w:autoSpaceDE/>
        <w:autoSpaceDN/>
        <w:bidi w:val="0"/>
        <w:adjustRightInd/>
        <w:snapToGrid/>
        <w:spacing w:after="313" w:afterLines="100" w:line="600" w:lineRule="exact"/>
        <w:ind w:firstLine="640" w:firstLineChars="200"/>
        <w:textAlignment w:val="auto"/>
        <w:rPr>
          <w:rFonts w:hint="default" w:eastAsia="仿宋_GB2312" w:cs="Times New Roman"/>
          <w:sz w:val="32"/>
          <w:szCs w:val="32"/>
          <w:lang w:val="en-US" w:eastAsia="zh-CN"/>
        </w:rPr>
      </w:pPr>
      <w:r>
        <w:rPr>
          <w:rFonts w:hint="eastAsia" w:eastAsia="仿宋_GB2312" w:cs="Times New Roman"/>
          <w:sz w:val="32"/>
          <w:szCs w:val="32"/>
          <w:lang w:val="en-US" w:eastAsia="zh-CN"/>
        </w:rPr>
        <w:t>针对上述存在问题，结合国家和省、市对政务公开工作新要求、新任务，重点抓好以下几方面：</w:t>
      </w:r>
    </w:p>
    <w:p>
      <w:pPr>
        <w:keepNext w:val="0"/>
        <w:keepLines w:val="0"/>
        <w:pageBreakBefore w:val="0"/>
        <w:widowControl w:val="0"/>
        <w:kinsoku/>
        <w:wordWrap/>
        <w:overflowPunct/>
        <w:topLinePunct w:val="0"/>
        <w:autoSpaceDE/>
        <w:autoSpaceDN/>
        <w:bidi w:val="0"/>
        <w:adjustRightInd/>
        <w:snapToGrid/>
        <w:spacing w:after="313" w:afterLines="100" w:line="600" w:lineRule="exact"/>
        <w:ind w:firstLine="643" w:firstLineChars="200"/>
        <w:textAlignment w:val="auto"/>
        <w:rPr>
          <w:rFonts w:hint="default" w:ascii="Times New Roman" w:hAnsi="Times New Roman" w:eastAsia="仿宋_GB2312" w:cs="Times New Roman"/>
          <w:b/>
          <w:bCs/>
          <w:sz w:val="32"/>
          <w:szCs w:val="32"/>
          <w:lang w:val="en-US" w:eastAsia="zh-CN"/>
        </w:rPr>
      </w:pPr>
      <w:r>
        <w:rPr>
          <w:rFonts w:hint="eastAsia" w:eastAsia="仿宋_GB2312" w:cs="Times New Roman"/>
          <w:b/>
          <w:bCs/>
          <w:sz w:val="32"/>
          <w:szCs w:val="32"/>
          <w:lang w:val="en-US" w:eastAsia="zh-CN"/>
        </w:rPr>
        <w:t>一</w:t>
      </w:r>
      <w:r>
        <w:rPr>
          <w:rFonts w:hint="default" w:ascii="Times New Roman" w:hAnsi="Times New Roman" w:eastAsia="仿宋_GB2312" w:cs="Times New Roman"/>
          <w:b/>
          <w:bCs/>
          <w:sz w:val="32"/>
          <w:szCs w:val="32"/>
          <w:lang w:val="en-US" w:eastAsia="zh-CN"/>
        </w:rPr>
        <w:t>是优化县政府网站栏目。</w:t>
      </w:r>
      <w:r>
        <w:rPr>
          <w:rFonts w:ascii="仿宋_GB2312" w:hAnsi="宋体" w:eastAsia="仿宋_GB2312" w:cs="仿宋_GB2312"/>
          <w:i w:val="0"/>
          <w:caps w:val="0"/>
          <w:color w:val="000000"/>
          <w:spacing w:val="0"/>
          <w:sz w:val="32"/>
          <w:szCs w:val="32"/>
        </w:rPr>
        <w:t>按照国家</w:t>
      </w:r>
      <w:r>
        <w:rPr>
          <w:rFonts w:hint="eastAsia" w:ascii="仿宋_GB2312" w:hAnsi="宋体" w:eastAsia="仿宋_GB2312" w:cs="仿宋_GB2312"/>
          <w:i w:val="0"/>
          <w:caps w:val="0"/>
          <w:color w:val="000000"/>
          <w:spacing w:val="0"/>
          <w:sz w:val="32"/>
          <w:szCs w:val="32"/>
          <w:lang w:val="en-US" w:eastAsia="zh-CN"/>
        </w:rPr>
        <w:t>和</w:t>
      </w:r>
      <w:r>
        <w:rPr>
          <w:rFonts w:ascii="仿宋_GB2312" w:hAnsi="宋体" w:eastAsia="仿宋_GB2312" w:cs="仿宋_GB2312"/>
          <w:i w:val="0"/>
          <w:caps w:val="0"/>
          <w:color w:val="000000"/>
          <w:spacing w:val="0"/>
          <w:sz w:val="32"/>
          <w:szCs w:val="32"/>
        </w:rPr>
        <w:t>省</w:t>
      </w:r>
      <w:r>
        <w:rPr>
          <w:rFonts w:hint="eastAsia" w:ascii="仿宋_GB2312" w:hAnsi="宋体" w:eastAsia="仿宋_GB2312" w:cs="仿宋_GB2312"/>
          <w:i w:val="0"/>
          <w:caps w:val="0"/>
          <w:color w:val="000000"/>
          <w:spacing w:val="0"/>
          <w:sz w:val="32"/>
          <w:szCs w:val="32"/>
          <w:lang w:eastAsia="zh-CN"/>
        </w:rPr>
        <w:t>、</w:t>
      </w:r>
      <w:r>
        <w:rPr>
          <w:rFonts w:ascii="仿宋_GB2312" w:hAnsi="宋体" w:eastAsia="仿宋_GB2312" w:cs="仿宋_GB2312"/>
          <w:i w:val="0"/>
          <w:caps w:val="0"/>
          <w:color w:val="000000"/>
          <w:spacing w:val="0"/>
          <w:sz w:val="32"/>
          <w:szCs w:val="32"/>
        </w:rPr>
        <w:t>市要求</w:t>
      </w:r>
      <w:r>
        <w:rPr>
          <w:rFonts w:hint="eastAsia" w:ascii="仿宋_GB2312" w:hAnsi="宋体" w:eastAsia="仿宋_GB2312" w:cs="仿宋_GB2312"/>
          <w:i w:val="0"/>
          <w:caps w:val="0"/>
          <w:color w:val="000000"/>
          <w:spacing w:val="0"/>
          <w:sz w:val="32"/>
          <w:szCs w:val="32"/>
          <w:lang w:val="en-US" w:eastAsia="zh-CN"/>
        </w:rPr>
        <w:t>对</w:t>
      </w:r>
      <w:r>
        <w:rPr>
          <w:rFonts w:ascii="仿宋_GB2312" w:hAnsi="宋体" w:eastAsia="仿宋_GB2312" w:cs="仿宋_GB2312"/>
          <w:i w:val="0"/>
          <w:caps w:val="0"/>
          <w:color w:val="000000"/>
          <w:spacing w:val="0"/>
          <w:sz w:val="32"/>
          <w:szCs w:val="32"/>
        </w:rPr>
        <w:t>县政府门户网站</w:t>
      </w:r>
      <w:r>
        <w:rPr>
          <w:rFonts w:hint="eastAsia" w:ascii="仿宋_GB2312" w:hAnsi="宋体" w:eastAsia="仿宋_GB2312" w:cs="仿宋_GB2312"/>
          <w:i w:val="0"/>
          <w:caps w:val="0"/>
          <w:color w:val="000000"/>
          <w:spacing w:val="0"/>
          <w:sz w:val="32"/>
          <w:szCs w:val="32"/>
          <w:lang w:val="en-US" w:eastAsia="zh-CN"/>
        </w:rPr>
        <w:t>进行优化</w:t>
      </w:r>
      <w:r>
        <w:rPr>
          <w:rFonts w:hint="eastAsia" w:ascii="仿宋_GB2312" w:hAnsi="宋体" w:eastAsia="仿宋_GB2312" w:cs="仿宋_GB2312"/>
          <w:i w:val="0"/>
          <w:caps w:val="0"/>
          <w:color w:val="000000"/>
          <w:spacing w:val="0"/>
          <w:sz w:val="32"/>
          <w:szCs w:val="32"/>
        </w:rPr>
        <w:t>，</w:t>
      </w:r>
      <w:r>
        <w:rPr>
          <w:rFonts w:hint="eastAsia" w:ascii="仿宋_GB2312" w:hAnsi="宋体" w:eastAsia="仿宋_GB2312" w:cs="仿宋_GB2312"/>
          <w:i w:val="0"/>
          <w:caps w:val="0"/>
          <w:color w:val="000000"/>
          <w:spacing w:val="0"/>
          <w:sz w:val="32"/>
          <w:szCs w:val="32"/>
          <w:lang w:val="en-US" w:eastAsia="zh-CN"/>
        </w:rPr>
        <w:t>突出便民和服务性，创新公众回应和关切，</w:t>
      </w:r>
      <w:r>
        <w:rPr>
          <w:rFonts w:hint="eastAsia" w:ascii="仿宋_GB2312" w:hAnsi="宋体" w:eastAsia="仿宋_GB2312" w:cs="仿宋_GB2312"/>
          <w:i w:val="0"/>
          <w:caps w:val="0"/>
          <w:color w:val="000000"/>
          <w:spacing w:val="0"/>
          <w:sz w:val="32"/>
          <w:szCs w:val="32"/>
        </w:rPr>
        <w:t>将政府网站打造成为更加全面的信息公开平台、更加权威的政策发布平台、更加及时的便民服务平台。</w:t>
      </w:r>
    </w:p>
    <w:p>
      <w:pPr>
        <w:keepNext w:val="0"/>
        <w:keepLines w:val="0"/>
        <w:pageBreakBefore w:val="0"/>
        <w:widowControl w:val="0"/>
        <w:kinsoku/>
        <w:wordWrap/>
        <w:overflowPunct/>
        <w:topLinePunct w:val="0"/>
        <w:autoSpaceDE/>
        <w:autoSpaceDN/>
        <w:bidi w:val="0"/>
        <w:adjustRightInd/>
        <w:snapToGrid/>
        <w:spacing w:after="313" w:afterLines="100" w:line="600" w:lineRule="exact"/>
        <w:ind w:firstLine="643" w:firstLineChars="200"/>
        <w:textAlignment w:val="auto"/>
        <w:rPr>
          <w:rFonts w:hint="eastAsia" w:ascii="仿宋_GB2312" w:eastAsia="仿宋_GB2312"/>
          <w:sz w:val="32"/>
          <w:szCs w:val="32"/>
        </w:rPr>
      </w:pPr>
      <w:r>
        <w:rPr>
          <w:rFonts w:hint="eastAsia" w:ascii="仿宋_GB2312" w:eastAsia="仿宋_GB2312"/>
          <w:b/>
          <w:bCs/>
          <w:sz w:val="32"/>
          <w:szCs w:val="32"/>
        </w:rPr>
        <w:t>二是加大</w:t>
      </w:r>
      <w:r>
        <w:rPr>
          <w:rFonts w:hint="eastAsia" w:ascii="仿宋_GB2312" w:eastAsia="仿宋_GB2312"/>
          <w:b/>
          <w:bCs/>
          <w:sz w:val="32"/>
          <w:szCs w:val="32"/>
          <w:lang w:val="en-US" w:eastAsia="zh-CN"/>
        </w:rPr>
        <w:t>信息</w:t>
      </w:r>
      <w:r>
        <w:rPr>
          <w:rFonts w:hint="eastAsia" w:ascii="仿宋_GB2312" w:eastAsia="仿宋_GB2312"/>
          <w:b/>
          <w:bCs/>
          <w:sz w:val="32"/>
          <w:szCs w:val="32"/>
        </w:rPr>
        <w:t>公开力度。</w:t>
      </w:r>
      <w:r>
        <w:rPr>
          <w:rFonts w:hint="eastAsia" w:ascii="仿宋_GB2312" w:eastAsia="仿宋_GB2312"/>
          <w:sz w:val="32"/>
          <w:szCs w:val="32"/>
          <w:lang w:val="en-US" w:eastAsia="zh-CN"/>
        </w:rPr>
        <w:t>认真贯彻落实新条例，</w:t>
      </w:r>
      <w:r>
        <w:rPr>
          <w:rFonts w:hint="eastAsia" w:ascii="仿宋_GB2312" w:eastAsia="仿宋_GB2312"/>
          <w:sz w:val="32"/>
          <w:szCs w:val="32"/>
        </w:rPr>
        <w:t>结合工作实际修订完善政府信息</w:t>
      </w:r>
      <w:r>
        <w:rPr>
          <w:rFonts w:hint="eastAsia" w:ascii="仿宋_GB2312" w:eastAsia="仿宋_GB2312"/>
          <w:sz w:val="32"/>
          <w:szCs w:val="32"/>
          <w:lang w:val="en-US" w:eastAsia="zh-CN"/>
        </w:rPr>
        <w:t>主动</w:t>
      </w:r>
      <w:r>
        <w:rPr>
          <w:rFonts w:hint="eastAsia" w:ascii="仿宋_GB2312" w:eastAsia="仿宋_GB2312"/>
          <w:sz w:val="32"/>
          <w:szCs w:val="32"/>
        </w:rPr>
        <w:t>公开</w:t>
      </w:r>
      <w:r>
        <w:rPr>
          <w:rFonts w:hint="eastAsia" w:ascii="仿宋_GB2312" w:eastAsia="仿宋_GB2312"/>
          <w:sz w:val="32"/>
          <w:szCs w:val="32"/>
          <w:lang w:val="en-US" w:eastAsia="zh-CN"/>
        </w:rPr>
        <w:t>基本</w:t>
      </w:r>
      <w:r>
        <w:rPr>
          <w:rFonts w:hint="eastAsia" w:ascii="仿宋_GB2312" w:eastAsia="仿宋_GB2312"/>
          <w:sz w:val="32"/>
          <w:szCs w:val="32"/>
        </w:rPr>
        <w:t>目录,建立科学规范的政府信息分类体系，加大公开力度,推进公权力大、公益性强、社会公众关注度高的政府部门的信息公开，大力推进行行政权力清单、财政资金、</w:t>
      </w:r>
      <w:r>
        <w:rPr>
          <w:rFonts w:hint="eastAsia" w:ascii="仿宋_GB2312" w:eastAsia="仿宋_GB2312"/>
          <w:sz w:val="32"/>
          <w:szCs w:val="32"/>
          <w:lang w:val="en-US" w:eastAsia="zh-CN"/>
        </w:rPr>
        <w:t>教育、医疗卫生、</w:t>
      </w:r>
      <w:r>
        <w:rPr>
          <w:rFonts w:hint="eastAsia" w:ascii="仿宋_GB2312" w:eastAsia="仿宋_GB2312"/>
          <w:sz w:val="32"/>
          <w:szCs w:val="32"/>
        </w:rPr>
        <w:t>公共资源配置、重大建设项目、公共服务</w:t>
      </w:r>
      <w:r>
        <w:rPr>
          <w:rFonts w:hint="eastAsia" w:ascii="仿宋_GB2312" w:eastAsia="仿宋_GB2312"/>
          <w:sz w:val="32"/>
          <w:szCs w:val="32"/>
          <w:lang w:eastAsia="zh-CN"/>
        </w:rPr>
        <w:t>、</w:t>
      </w:r>
      <w:r>
        <w:rPr>
          <w:rFonts w:hint="eastAsia" w:ascii="仿宋_GB2312" w:eastAsia="仿宋_GB2312"/>
          <w:sz w:val="32"/>
          <w:szCs w:val="32"/>
          <w:lang w:val="en-US" w:eastAsia="zh-CN"/>
        </w:rPr>
        <w:t>社会公益事业</w:t>
      </w:r>
      <w:r>
        <w:rPr>
          <w:rFonts w:hint="eastAsia" w:ascii="仿宋_GB2312" w:eastAsia="仿宋_GB2312"/>
          <w:sz w:val="32"/>
          <w:szCs w:val="32"/>
        </w:rPr>
        <w:t>等重点领域政府信息的公开。</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600" w:lineRule="exact"/>
        <w:ind w:firstLine="643" w:firstLineChars="200"/>
        <w:textAlignment w:val="auto"/>
        <w:rPr>
          <w:rFonts w:hint="eastAsia" w:ascii="仿宋_GB2312" w:eastAsia="仿宋_GB2312"/>
          <w:sz w:val="32"/>
          <w:szCs w:val="32"/>
        </w:rPr>
      </w:pPr>
      <w:r>
        <w:rPr>
          <w:rFonts w:hint="eastAsia" w:ascii="仿宋_GB2312" w:eastAsia="仿宋_GB2312"/>
          <w:b/>
          <w:bCs/>
          <w:sz w:val="32"/>
          <w:szCs w:val="32"/>
        </w:rPr>
        <w:t>三是抓好依申请公开办理。</w:t>
      </w:r>
      <w:r>
        <w:rPr>
          <w:rFonts w:hint="eastAsia" w:ascii="仿宋_GB2312" w:eastAsia="仿宋_GB2312"/>
          <w:sz w:val="32"/>
          <w:szCs w:val="32"/>
        </w:rPr>
        <w:t>完善依申请公开的受理审查和办理答复程序，明确答复责任，保证依申请公开办理质量和办理时限，</w:t>
      </w:r>
      <w:r>
        <w:rPr>
          <w:rFonts w:hint="eastAsia" w:ascii="仿宋_GB2312" w:eastAsia="仿宋_GB2312"/>
          <w:sz w:val="32"/>
          <w:szCs w:val="32"/>
          <w:lang w:val="en-US" w:eastAsia="zh-CN"/>
        </w:rPr>
        <w:t>确保答复及时、准确、规范，防止出现因协查不力而引发败诉的情况，最大程度</w:t>
      </w:r>
      <w:r>
        <w:rPr>
          <w:rFonts w:hint="eastAsia" w:ascii="仿宋_GB2312" w:eastAsia="仿宋_GB2312"/>
          <w:sz w:val="32"/>
          <w:szCs w:val="32"/>
        </w:rPr>
        <w:t>满足人民群众获取和利用政府信息的需求。</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600" w:lineRule="exact"/>
        <w:ind w:firstLine="643" w:firstLineChars="200"/>
        <w:textAlignment w:val="auto"/>
        <w:rPr>
          <w:rFonts w:hint="eastAsia" w:ascii="仿宋_GB2312" w:eastAsia="仿宋_GB2312"/>
          <w:sz w:val="32"/>
          <w:szCs w:val="32"/>
        </w:rPr>
      </w:pPr>
      <w:r>
        <w:rPr>
          <w:rFonts w:hint="eastAsia" w:ascii="仿宋_GB2312" w:eastAsia="仿宋_GB2312"/>
          <w:b/>
          <w:bCs/>
          <w:sz w:val="32"/>
          <w:szCs w:val="32"/>
        </w:rPr>
        <w:t>四是强化</w:t>
      </w:r>
      <w:r>
        <w:rPr>
          <w:rFonts w:hint="eastAsia" w:ascii="仿宋_GB2312" w:eastAsia="仿宋_GB2312"/>
          <w:b/>
          <w:bCs/>
          <w:sz w:val="32"/>
          <w:szCs w:val="32"/>
          <w:lang w:val="en-US" w:eastAsia="zh-CN"/>
        </w:rPr>
        <w:t>业务</w:t>
      </w:r>
      <w:r>
        <w:rPr>
          <w:rFonts w:hint="eastAsia" w:ascii="仿宋_GB2312" w:eastAsia="仿宋_GB2312"/>
          <w:b/>
          <w:bCs/>
          <w:sz w:val="32"/>
          <w:szCs w:val="32"/>
        </w:rPr>
        <w:t>培训学习。</w:t>
      </w:r>
      <w:r>
        <w:rPr>
          <w:rFonts w:hint="eastAsia" w:ascii="Times New Roman" w:hAnsi="Times New Roman" w:eastAsia="仿宋_GB2312" w:cs="Times New Roman"/>
          <w:sz w:val="32"/>
          <w:szCs w:val="32"/>
          <w:lang w:val="en-US" w:eastAsia="zh-CN"/>
        </w:rPr>
        <w:t>继续</w:t>
      </w:r>
      <w:r>
        <w:rPr>
          <w:rFonts w:hint="default" w:ascii="Times New Roman" w:hAnsi="Times New Roman" w:eastAsia="仿宋_GB2312" w:cs="Times New Roman"/>
          <w:sz w:val="32"/>
          <w:szCs w:val="32"/>
        </w:rPr>
        <w:t>将</w:t>
      </w:r>
      <w:r>
        <w:rPr>
          <w:rFonts w:hint="default" w:ascii="Times New Roman" w:hAnsi="Times New Roman" w:eastAsia="仿宋_GB2312" w:cs="Times New Roman"/>
          <w:color w:val="auto"/>
          <w:sz w:val="32"/>
          <w:szCs w:val="32"/>
        </w:rPr>
        <w:t>政务公</w:t>
      </w:r>
      <w:r>
        <w:rPr>
          <w:rFonts w:hint="default" w:ascii="Times New Roman" w:hAnsi="Times New Roman" w:eastAsia="仿宋_GB2312" w:cs="Times New Roman"/>
          <w:sz w:val="32"/>
          <w:szCs w:val="32"/>
        </w:rPr>
        <w:t>开培训纳入全县领导干部培训计划并加以落实，对县政府领导班子、县直各部门和乡镇政府主要负责人、分管负责人和业务人员进行全覆盖培训</w:t>
      </w:r>
      <w:r>
        <w:rPr>
          <w:rFonts w:hint="eastAsia" w:eastAsia="仿宋_GB2312" w:cs="Times New Roman"/>
          <w:sz w:val="32"/>
          <w:szCs w:val="32"/>
          <w:lang w:eastAsia="zh-CN"/>
        </w:rPr>
        <w:t>。</w:t>
      </w:r>
      <w:r>
        <w:rPr>
          <w:rFonts w:hint="eastAsia" w:ascii="仿宋_GB2312" w:eastAsia="仿宋_GB2312"/>
          <w:sz w:val="32"/>
          <w:szCs w:val="32"/>
        </w:rPr>
        <w:t>通过</w:t>
      </w:r>
      <w:r>
        <w:rPr>
          <w:rFonts w:hint="eastAsia" w:ascii="仿宋_GB2312" w:eastAsia="仿宋_GB2312"/>
          <w:sz w:val="32"/>
          <w:szCs w:val="32"/>
          <w:lang w:val="en-US" w:eastAsia="zh-CN"/>
        </w:rPr>
        <w:t>培训会、以干代训等方式，强化</w:t>
      </w:r>
      <w:r>
        <w:rPr>
          <w:rFonts w:hint="eastAsia" w:ascii="仿宋_GB2312" w:eastAsia="仿宋_GB2312"/>
          <w:sz w:val="32"/>
          <w:szCs w:val="32"/>
        </w:rPr>
        <w:t>政府信息公开相关政策法规和业务知识的培训，提高各级各部门信息公开工作人员的公开意识和业务办理水平。</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600" w:lineRule="exact"/>
        <w:ind w:firstLine="643" w:firstLineChars="200"/>
        <w:textAlignment w:val="auto"/>
        <w:rPr>
          <w:rFonts w:hint="default" w:ascii="Times New Roman" w:hAnsi="Times New Roman" w:eastAsia="仿宋_GB2312" w:cs="Times New Roman"/>
          <w:sz w:val="32"/>
          <w:szCs w:val="32"/>
          <w:lang w:val="en-US" w:eastAsia="zh-CN"/>
        </w:rPr>
      </w:pPr>
      <w:r>
        <w:rPr>
          <w:rFonts w:hint="eastAsia" w:ascii="仿宋_GB2312" w:eastAsia="仿宋_GB2312"/>
          <w:b/>
          <w:bCs/>
          <w:sz w:val="32"/>
          <w:szCs w:val="32"/>
        </w:rPr>
        <w:t>五是加强督促</w:t>
      </w:r>
      <w:r>
        <w:rPr>
          <w:rFonts w:hint="eastAsia" w:ascii="仿宋_GB2312" w:eastAsia="仿宋_GB2312"/>
          <w:b/>
          <w:bCs/>
          <w:sz w:val="32"/>
          <w:szCs w:val="32"/>
          <w:lang w:val="en-US" w:eastAsia="zh-CN"/>
        </w:rPr>
        <w:t>检查</w:t>
      </w:r>
      <w:r>
        <w:rPr>
          <w:rFonts w:hint="eastAsia" w:ascii="仿宋_GB2312" w:eastAsia="仿宋_GB2312"/>
          <w:b/>
          <w:bCs/>
          <w:sz w:val="32"/>
          <w:szCs w:val="32"/>
        </w:rPr>
        <w:t>。</w:t>
      </w:r>
      <w:r>
        <w:rPr>
          <w:rFonts w:hint="eastAsia" w:ascii="仿宋_GB2312" w:eastAsia="仿宋_GB2312"/>
          <w:sz w:val="32"/>
          <w:szCs w:val="32"/>
        </w:rPr>
        <w:t>按照上级文件精神，结合我县实际情况，将政务公开考核工作纳入全县科学发展观考评体系，并进一步增加分值权重。</w:t>
      </w:r>
      <w:r>
        <w:rPr>
          <w:rFonts w:hint="eastAsia" w:eastAsia="仿宋_GB2312" w:cs="Times New Roman"/>
          <w:sz w:val="32"/>
          <w:szCs w:val="32"/>
          <w:lang w:val="en-US" w:eastAsia="zh-CN"/>
        </w:rPr>
        <w:t>坚持</w:t>
      </w:r>
      <w:r>
        <w:rPr>
          <w:rFonts w:hint="default" w:ascii="Times New Roman" w:hAnsi="Times New Roman" w:eastAsia="仿宋_GB2312" w:cs="Times New Roman"/>
          <w:sz w:val="32"/>
          <w:szCs w:val="32"/>
          <w:lang w:val="en-US" w:eastAsia="zh-CN"/>
        </w:rPr>
        <w:t>周检查、月通报、季评估、年考核机制</w:t>
      </w:r>
      <w:r>
        <w:rPr>
          <w:rFonts w:hint="eastAsia" w:eastAsia="仿宋_GB2312" w:cs="Times New Roman"/>
          <w:sz w:val="32"/>
          <w:szCs w:val="32"/>
          <w:lang w:eastAsia="zh-CN"/>
        </w:rPr>
        <w:t>，</w:t>
      </w:r>
      <w:r>
        <w:rPr>
          <w:rFonts w:hint="eastAsia" w:ascii="仿宋_GB2312" w:eastAsia="仿宋_GB2312"/>
          <w:sz w:val="32"/>
          <w:szCs w:val="32"/>
        </w:rPr>
        <w:t>定期地对各乡镇政府、县直各部门信息公开工作进行督促检查,及时发现并解决工作中存在的问题,推动工作深入开展。</w:t>
      </w:r>
    </w:p>
    <w:p>
      <w:pPr>
        <w:keepNext w:val="0"/>
        <w:keepLines w:val="0"/>
        <w:pageBreakBefore w:val="0"/>
        <w:widowControl w:val="0"/>
        <w:kinsoku/>
        <w:wordWrap/>
        <w:overflowPunct/>
        <w:topLinePunct w:val="0"/>
        <w:autoSpaceDE/>
        <w:autoSpaceDN/>
        <w:bidi w:val="0"/>
        <w:adjustRightInd w:val="0"/>
        <w:snapToGrid w:val="0"/>
        <w:spacing w:before="313" w:beforeLines="100" w:after="313" w:afterLines="100" w:line="600" w:lineRule="exact"/>
        <w:ind w:firstLine="840" w:firstLineChars="200"/>
        <w:textAlignment w:val="auto"/>
        <w:rPr>
          <w:rFonts w:hint="default" w:ascii="Times New Roman" w:hAnsi="Times New Roman" w:eastAsia="黑体" w:cs="Times New Roman"/>
          <w:sz w:val="42"/>
          <w:szCs w:val="42"/>
        </w:rPr>
      </w:pPr>
      <w:r>
        <w:rPr>
          <w:rFonts w:hint="default" w:ascii="Times New Roman" w:hAnsi="Times New Roman" w:eastAsia="黑体" w:cs="Times New Roman"/>
          <w:sz w:val="42"/>
          <w:szCs w:val="42"/>
        </w:rPr>
        <w:t>六、其他需要报告的事项</w:t>
      </w:r>
    </w:p>
    <w:p>
      <w:pPr>
        <w:keepNext w:val="0"/>
        <w:keepLines w:val="0"/>
        <w:pageBreakBefore w:val="0"/>
        <w:widowControl w:val="0"/>
        <w:numPr>
          <w:ilvl w:val="0"/>
          <w:numId w:val="0"/>
        </w:numPr>
        <w:kinsoku/>
        <w:wordWrap/>
        <w:overflowPunct/>
        <w:topLinePunct w:val="0"/>
        <w:autoSpaceDE/>
        <w:autoSpaceDN/>
        <w:bidi w:val="0"/>
        <w:spacing w:before="313" w:beforeLines="100" w:after="313" w:afterLines="100" w:line="60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无</w:t>
      </w:r>
      <w:r>
        <w:rPr>
          <w:rFonts w:hint="default" w:ascii="Times New Roman" w:hAnsi="Times New Roman" w:eastAsia="仿宋_GB2312" w:cs="Times New Roman"/>
          <w:sz w:val="32"/>
          <w:szCs w:val="32"/>
          <w:lang w:eastAsia="zh-CN"/>
        </w:rPr>
        <w:t>。</w:t>
      </w:r>
    </w:p>
    <w:sectPr>
      <w:pgSz w:w="11906" w:h="16838"/>
      <w:pgMar w:top="2098" w:right="1797" w:bottom="144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文星仿宋">
    <w:altName w:val="仿宋"/>
    <w:panose1 w:val="00000000000000000000"/>
    <w:charset w:val="86"/>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swiss"/>
    <w:pitch w:val="variable"/>
    <w:sig w:usb0="80000287" w:usb1="2ACF001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57DFC3"/>
    <w:multiLevelType w:val="singleLevel"/>
    <w:tmpl w:val="DE57DFC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4MzcyNTYzM2Y4MjE0OTBjZTg0ODViOWQ5YWU0OTMifQ=="/>
  </w:docVars>
  <w:rsids>
    <w:rsidRoot w:val="002F673B"/>
    <w:rsid w:val="0000026E"/>
    <w:rsid w:val="00067BB3"/>
    <w:rsid w:val="000706BE"/>
    <w:rsid w:val="001A3A8B"/>
    <w:rsid w:val="002772FE"/>
    <w:rsid w:val="002F673B"/>
    <w:rsid w:val="003643C2"/>
    <w:rsid w:val="00366C66"/>
    <w:rsid w:val="003D58B0"/>
    <w:rsid w:val="004217CC"/>
    <w:rsid w:val="00421849"/>
    <w:rsid w:val="00434C37"/>
    <w:rsid w:val="004E4D33"/>
    <w:rsid w:val="005112DA"/>
    <w:rsid w:val="00570942"/>
    <w:rsid w:val="005968D2"/>
    <w:rsid w:val="005E3AE7"/>
    <w:rsid w:val="006A73E9"/>
    <w:rsid w:val="0075783B"/>
    <w:rsid w:val="008C6532"/>
    <w:rsid w:val="00916972"/>
    <w:rsid w:val="00950E2E"/>
    <w:rsid w:val="009A4553"/>
    <w:rsid w:val="00A37B25"/>
    <w:rsid w:val="00A713D6"/>
    <w:rsid w:val="00A809DB"/>
    <w:rsid w:val="00AF39AC"/>
    <w:rsid w:val="00B23C0B"/>
    <w:rsid w:val="00B4610C"/>
    <w:rsid w:val="00B6592C"/>
    <w:rsid w:val="00BB4B81"/>
    <w:rsid w:val="00BD175D"/>
    <w:rsid w:val="00C24750"/>
    <w:rsid w:val="00C340F9"/>
    <w:rsid w:val="00C52098"/>
    <w:rsid w:val="00CA6189"/>
    <w:rsid w:val="00D037C9"/>
    <w:rsid w:val="00E06EAB"/>
    <w:rsid w:val="00E803F8"/>
    <w:rsid w:val="00EA34F6"/>
    <w:rsid w:val="00F0162C"/>
    <w:rsid w:val="00FA77FA"/>
    <w:rsid w:val="01B510C5"/>
    <w:rsid w:val="021F7FFA"/>
    <w:rsid w:val="025709E1"/>
    <w:rsid w:val="034476F9"/>
    <w:rsid w:val="03F05EA8"/>
    <w:rsid w:val="041B7C65"/>
    <w:rsid w:val="043C1A2C"/>
    <w:rsid w:val="054F5218"/>
    <w:rsid w:val="056D0E7D"/>
    <w:rsid w:val="05877EF4"/>
    <w:rsid w:val="061E5F09"/>
    <w:rsid w:val="0625263C"/>
    <w:rsid w:val="062B1103"/>
    <w:rsid w:val="068D0217"/>
    <w:rsid w:val="069C3292"/>
    <w:rsid w:val="06D86197"/>
    <w:rsid w:val="06DA678E"/>
    <w:rsid w:val="06FE517E"/>
    <w:rsid w:val="07061CB4"/>
    <w:rsid w:val="0721611A"/>
    <w:rsid w:val="07B24CE8"/>
    <w:rsid w:val="07E95B55"/>
    <w:rsid w:val="083107BB"/>
    <w:rsid w:val="083269DF"/>
    <w:rsid w:val="08E71F2A"/>
    <w:rsid w:val="091450DF"/>
    <w:rsid w:val="09971FE9"/>
    <w:rsid w:val="09A87296"/>
    <w:rsid w:val="09BB7301"/>
    <w:rsid w:val="0CBC1577"/>
    <w:rsid w:val="0CF258C9"/>
    <w:rsid w:val="0D7A4530"/>
    <w:rsid w:val="0D9021E3"/>
    <w:rsid w:val="0DD13814"/>
    <w:rsid w:val="0DEE3327"/>
    <w:rsid w:val="0E32576D"/>
    <w:rsid w:val="0E7671B8"/>
    <w:rsid w:val="0E967FC2"/>
    <w:rsid w:val="0EAE65B2"/>
    <w:rsid w:val="0EC469B4"/>
    <w:rsid w:val="103530C2"/>
    <w:rsid w:val="10485029"/>
    <w:rsid w:val="108453DA"/>
    <w:rsid w:val="10986E56"/>
    <w:rsid w:val="10E42FE4"/>
    <w:rsid w:val="11197E5B"/>
    <w:rsid w:val="114735E3"/>
    <w:rsid w:val="115523B2"/>
    <w:rsid w:val="118A665C"/>
    <w:rsid w:val="118E6B5C"/>
    <w:rsid w:val="120D02A1"/>
    <w:rsid w:val="130C28E1"/>
    <w:rsid w:val="13633EBE"/>
    <w:rsid w:val="13BA2F9D"/>
    <w:rsid w:val="1414134D"/>
    <w:rsid w:val="144B6ED5"/>
    <w:rsid w:val="14F570DF"/>
    <w:rsid w:val="151B7693"/>
    <w:rsid w:val="157968E3"/>
    <w:rsid w:val="15A66BD3"/>
    <w:rsid w:val="15C41E44"/>
    <w:rsid w:val="1621720C"/>
    <w:rsid w:val="16CD59A0"/>
    <w:rsid w:val="17483C59"/>
    <w:rsid w:val="176F488D"/>
    <w:rsid w:val="17ED5B13"/>
    <w:rsid w:val="184B2332"/>
    <w:rsid w:val="18AA7BEB"/>
    <w:rsid w:val="18B55853"/>
    <w:rsid w:val="18DD10FD"/>
    <w:rsid w:val="1A1818AE"/>
    <w:rsid w:val="1A882C69"/>
    <w:rsid w:val="1A926B95"/>
    <w:rsid w:val="1A9B0C3F"/>
    <w:rsid w:val="1AA23029"/>
    <w:rsid w:val="1B017AD2"/>
    <w:rsid w:val="1BDD4E49"/>
    <w:rsid w:val="1C872324"/>
    <w:rsid w:val="1CEF3ECE"/>
    <w:rsid w:val="1D046D6C"/>
    <w:rsid w:val="1D0B757D"/>
    <w:rsid w:val="1D15069A"/>
    <w:rsid w:val="1D3C7029"/>
    <w:rsid w:val="1D9A7939"/>
    <w:rsid w:val="1DBB0F79"/>
    <w:rsid w:val="1E4F665F"/>
    <w:rsid w:val="1F117B79"/>
    <w:rsid w:val="1FA33C7B"/>
    <w:rsid w:val="1FC47013"/>
    <w:rsid w:val="2054565A"/>
    <w:rsid w:val="2251465E"/>
    <w:rsid w:val="2332567A"/>
    <w:rsid w:val="23CB573E"/>
    <w:rsid w:val="24072E84"/>
    <w:rsid w:val="243F447A"/>
    <w:rsid w:val="24541AAC"/>
    <w:rsid w:val="252658D9"/>
    <w:rsid w:val="252F0C7E"/>
    <w:rsid w:val="25470A75"/>
    <w:rsid w:val="269D6380"/>
    <w:rsid w:val="26BA4FF7"/>
    <w:rsid w:val="27A442FE"/>
    <w:rsid w:val="281F20B5"/>
    <w:rsid w:val="28E92A54"/>
    <w:rsid w:val="29604D47"/>
    <w:rsid w:val="29C53265"/>
    <w:rsid w:val="29E61F64"/>
    <w:rsid w:val="2A977A81"/>
    <w:rsid w:val="2ACF7045"/>
    <w:rsid w:val="2AD1112F"/>
    <w:rsid w:val="2B316C73"/>
    <w:rsid w:val="2B7023B4"/>
    <w:rsid w:val="2BBD3A6E"/>
    <w:rsid w:val="2C50481E"/>
    <w:rsid w:val="2CDB7CBE"/>
    <w:rsid w:val="2D3F4DF9"/>
    <w:rsid w:val="2E8A4CC1"/>
    <w:rsid w:val="2F076F29"/>
    <w:rsid w:val="2F1A3216"/>
    <w:rsid w:val="2F7531A7"/>
    <w:rsid w:val="2FAC6679"/>
    <w:rsid w:val="2FF832B1"/>
    <w:rsid w:val="30065456"/>
    <w:rsid w:val="300D30A3"/>
    <w:rsid w:val="30B6597C"/>
    <w:rsid w:val="316146B1"/>
    <w:rsid w:val="316C1BCD"/>
    <w:rsid w:val="319D3ED4"/>
    <w:rsid w:val="31B63EA4"/>
    <w:rsid w:val="31E14907"/>
    <w:rsid w:val="329C12AB"/>
    <w:rsid w:val="32C84432"/>
    <w:rsid w:val="335D41A8"/>
    <w:rsid w:val="348C4CEA"/>
    <w:rsid w:val="34AA2CA4"/>
    <w:rsid w:val="36176BB8"/>
    <w:rsid w:val="36914E2E"/>
    <w:rsid w:val="36994F35"/>
    <w:rsid w:val="37716AC0"/>
    <w:rsid w:val="377C4DA1"/>
    <w:rsid w:val="37806DFA"/>
    <w:rsid w:val="388A6133"/>
    <w:rsid w:val="38FC292C"/>
    <w:rsid w:val="39B72547"/>
    <w:rsid w:val="3A20585E"/>
    <w:rsid w:val="3A5A67CE"/>
    <w:rsid w:val="3B2B72C9"/>
    <w:rsid w:val="3BC641FC"/>
    <w:rsid w:val="3C142F83"/>
    <w:rsid w:val="3CFF51A4"/>
    <w:rsid w:val="3D186A23"/>
    <w:rsid w:val="3D6B5651"/>
    <w:rsid w:val="3D846999"/>
    <w:rsid w:val="3DE64066"/>
    <w:rsid w:val="3E15419A"/>
    <w:rsid w:val="3F1C199D"/>
    <w:rsid w:val="3F3556D0"/>
    <w:rsid w:val="3F485F51"/>
    <w:rsid w:val="402462AA"/>
    <w:rsid w:val="40492CBF"/>
    <w:rsid w:val="405B1B54"/>
    <w:rsid w:val="40924FE2"/>
    <w:rsid w:val="40C6470C"/>
    <w:rsid w:val="419C4F1E"/>
    <w:rsid w:val="41E95781"/>
    <w:rsid w:val="42A3179C"/>
    <w:rsid w:val="42F04C1B"/>
    <w:rsid w:val="43975D6B"/>
    <w:rsid w:val="43B858A3"/>
    <w:rsid w:val="43BF1061"/>
    <w:rsid w:val="43F444CA"/>
    <w:rsid w:val="4432652A"/>
    <w:rsid w:val="443D1515"/>
    <w:rsid w:val="449144EE"/>
    <w:rsid w:val="44A808E5"/>
    <w:rsid w:val="44F4269D"/>
    <w:rsid w:val="4533421E"/>
    <w:rsid w:val="45631FD8"/>
    <w:rsid w:val="463723A1"/>
    <w:rsid w:val="46E60F74"/>
    <w:rsid w:val="46FB685B"/>
    <w:rsid w:val="47533636"/>
    <w:rsid w:val="477D7479"/>
    <w:rsid w:val="47EF11D8"/>
    <w:rsid w:val="48140110"/>
    <w:rsid w:val="484C5A5A"/>
    <w:rsid w:val="49085D9B"/>
    <w:rsid w:val="49C7052D"/>
    <w:rsid w:val="49F0251E"/>
    <w:rsid w:val="4A164F1D"/>
    <w:rsid w:val="4A244368"/>
    <w:rsid w:val="4A2B04D5"/>
    <w:rsid w:val="4A7F6531"/>
    <w:rsid w:val="4AD54D86"/>
    <w:rsid w:val="4AEF701F"/>
    <w:rsid w:val="4B4031FC"/>
    <w:rsid w:val="4B6C1555"/>
    <w:rsid w:val="4C5C5E13"/>
    <w:rsid w:val="4CC7458A"/>
    <w:rsid w:val="4D43602B"/>
    <w:rsid w:val="4D610FCA"/>
    <w:rsid w:val="4DC2003A"/>
    <w:rsid w:val="4DC91572"/>
    <w:rsid w:val="4DD144F2"/>
    <w:rsid w:val="4E1E2E37"/>
    <w:rsid w:val="4F2744B3"/>
    <w:rsid w:val="4F452359"/>
    <w:rsid w:val="50006DE3"/>
    <w:rsid w:val="51207DEF"/>
    <w:rsid w:val="51635E96"/>
    <w:rsid w:val="51856B29"/>
    <w:rsid w:val="51CE6BC7"/>
    <w:rsid w:val="52466C2B"/>
    <w:rsid w:val="525E1342"/>
    <w:rsid w:val="528C076E"/>
    <w:rsid w:val="52A260BD"/>
    <w:rsid w:val="53637E4F"/>
    <w:rsid w:val="539A419C"/>
    <w:rsid w:val="54BF007F"/>
    <w:rsid w:val="55CB4485"/>
    <w:rsid w:val="55CD6F95"/>
    <w:rsid w:val="562C5E66"/>
    <w:rsid w:val="56FC333D"/>
    <w:rsid w:val="57946A61"/>
    <w:rsid w:val="58E87F93"/>
    <w:rsid w:val="59010835"/>
    <w:rsid w:val="59093FD8"/>
    <w:rsid w:val="59583AC0"/>
    <w:rsid w:val="5A4A5193"/>
    <w:rsid w:val="5A560F22"/>
    <w:rsid w:val="5A6C7D2E"/>
    <w:rsid w:val="5A7B112E"/>
    <w:rsid w:val="5B2E3A0B"/>
    <w:rsid w:val="5B8B6590"/>
    <w:rsid w:val="5BA85A67"/>
    <w:rsid w:val="5C0834A2"/>
    <w:rsid w:val="5C82255E"/>
    <w:rsid w:val="5D194F1F"/>
    <w:rsid w:val="5D366863"/>
    <w:rsid w:val="5D767F4A"/>
    <w:rsid w:val="5DF634CD"/>
    <w:rsid w:val="5E077362"/>
    <w:rsid w:val="5E153F75"/>
    <w:rsid w:val="5E5E55E6"/>
    <w:rsid w:val="5E8C517F"/>
    <w:rsid w:val="5EB75294"/>
    <w:rsid w:val="5FFA06EA"/>
    <w:rsid w:val="606E6F34"/>
    <w:rsid w:val="60AE0DE2"/>
    <w:rsid w:val="611A68F9"/>
    <w:rsid w:val="61556385"/>
    <w:rsid w:val="617A41D7"/>
    <w:rsid w:val="627C3D85"/>
    <w:rsid w:val="62CB7EAD"/>
    <w:rsid w:val="630E15D8"/>
    <w:rsid w:val="642E1DB2"/>
    <w:rsid w:val="64CA7AA2"/>
    <w:rsid w:val="64E37F23"/>
    <w:rsid w:val="658363B4"/>
    <w:rsid w:val="65974878"/>
    <w:rsid w:val="65ED3C34"/>
    <w:rsid w:val="6669505F"/>
    <w:rsid w:val="66760BB4"/>
    <w:rsid w:val="67072840"/>
    <w:rsid w:val="674635FF"/>
    <w:rsid w:val="67876B37"/>
    <w:rsid w:val="67A21038"/>
    <w:rsid w:val="67AB7AE8"/>
    <w:rsid w:val="68190FE8"/>
    <w:rsid w:val="68A70E99"/>
    <w:rsid w:val="68E45906"/>
    <w:rsid w:val="6918748E"/>
    <w:rsid w:val="695176E0"/>
    <w:rsid w:val="69BA5DE8"/>
    <w:rsid w:val="6A386E04"/>
    <w:rsid w:val="6A58337B"/>
    <w:rsid w:val="6AA839DE"/>
    <w:rsid w:val="6AAE410D"/>
    <w:rsid w:val="6AF02F04"/>
    <w:rsid w:val="6B455983"/>
    <w:rsid w:val="6B5A2FBD"/>
    <w:rsid w:val="6BC8789D"/>
    <w:rsid w:val="6CF065A7"/>
    <w:rsid w:val="6D9B4FAE"/>
    <w:rsid w:val="6E206A7C"/>
    <w:rsid w:val="6E92169B"/>
    <w:rsid w:val="6EC5750B"/>
    <w:rsid w:val="6ED147D2"/>
    <w:rsid w:val="6EE2062F"/>
    <w:rsid w:val="6F217808"/>
    <w:rsid w:val="6F2370E6"/>
    <w:rsid w:val="6FA66D05"/>
    <w:rsid w:val="6FF90D7E"/>
    <w:rsid w:val="702116C7"/>
    <w:rsid w:val="711F0493"/>
    <w:rsid w:val="724B3129"/>
    <w:rsid w:val="72730E2E"/>
    <w:rsid w:val="72A46806"/>
    <w:rsid w:val="72D15C1C"/>
    <w:rsid w:val="72DF4EDC"/>
    <w:rsid w:val="73034AFF"/>
    <w:rsid w:val="73EF06EE"/>
    <w:rsid w:val="74595BF2"/>
    <w:rsid w:val="746C0D63"/>
    <w:rsid w:val="757C46C4"/>
    <w:rsid w:val="758E2A71"/>
    <w:rsid w:val="75A31960"/>
    <w:rsid w:val="76342283"/>
    <w:rsid w:val="77753B21"/>
    <w:rsid w:val="77807115"/>
    <w:rsid w:val="786741FD"/>
    <w:rsid w:val="78DF75F7"/>
    <w:rsid w:val="797356AE"/>
    <w:rsid w:val="79B91F80"/>
    <w:rsid w:val="79DC3059"/>
    <w:rsid w:val="79E10609"/>
    <w:rsid w:val="7A665165"/>
    <w:rsid w:val="7AF7268D"/>
    <w:rsid w:val="7B164557"/>
    <w:rsid w:val="7C00243A"/>
    <w:rsid w:val="7C21038F"/>
    <w:rsid w:val="7CE73BE2"/>
    <w:rsid w:val="7DA6466D"/>
    <w:rsid w:val="7DEC7044"/>
    <w:rsid w:val="7E016E4E"/>
    <w:rsid w:val="7E473004"/>
    <w:rsid w:val="7E8C078B"/>
    <w:rsid w:val="7EEA0EF5"/>
    <w:rsid w:val="7F242908"/>
    <w:rsid w:val="7F286C8C"/>
    <w:rsid w:val="7FF857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qFormat/>
    <w:uiPriority w:val="0"/>
    <w:rPr>
      <w:sz w:val="18"/>
      <w:szCs w:val="18"/>
    </w:r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kern w:val="0"/>
      <w:sz w:val="24"/>
    </w:rPr>
  </w:style>
  <w:style w:type="character" w:customStyle="1" w:styleId="9">
    <w:name w:val="页眉 字符"/>
    <w:basedOn w:val="8"/>
    <w:link w:val="5"/>
    <w:qFormat/>
    <w:uiPriority w:val="0"/>
    <w:rPr>
      <w:kern w:val="2"/>
      <w:sz w:val="18"/>
      <w:szCs w:val="18"/>
    </w:rPr>
  </w:style>
  <w:style w:type="character" w:customStyle="1" w:styleId="10">
    <w:name w:val="页脚 字符"/>
    <w:basedOn w:val="8"/>
    <w:link w:val="4"/>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字符"/>
    <w:basedOn w:val="8"/>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GI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GIF"/><Relationship Id="rId15" Type="http://schemas.openxmlformats.org/officeDocument/2006/relationships/chart" Target="charts/chart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openxmlformats.org/officeDocument/2006/relationships/image" Target="../media/image15.png"/><Relationship Id="rId3" Type="http://schemas.openxmlformats.org/officeDocument/2006/relationships/image" Target="../media/image14.png"/><Relationship Id="rId2" Type="http://schemas.openxmlformats.org/officeDocument/2006/relationships/themeOverride" Target="../theme/themeOverride1.xml"/><Relationship Id="rId1" Type="http://schemas.openxmlformats.org/officeDocument/2006/relationships/oleObject" Target="file:///C:\Users\hy\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600" b="0" i="0" u="none" strike="noStrike" kern="1200" spc="0" baseline="0">
                <a:solidFill>
                  <a:schemeClr val="tx1">
                    <a:lumMod val="75000"/>
                    <a:lumOff val="25000"/>
                  </a:schemeClr>
                </a:solidFill>
                <a:latin typeface="微软雅黑" panose="020B0503020204020204" pitchFamily="2" charset="-122"/>
                <a:ea typeface="微软雅黑" panose="020B0503020204020204" pitchFamily="2" charset="-122"/>
                <a:cs typeface="+mn-cs"/>
              </a:defRPr>
            </a:pPr>
            <a:r>
              <a:t>依申请公开信息类型</a:t>
            </a:r>
          </a:p>
        </c:rich>
      </c:tx>
      <c:layout>
        <c:manualLayout>
          <c:xMode val="edge"/>
          <c:yMode val="edge"/>
          <c:x val="0.128512415824916"/>
          <c:y val="0.0853118415507796"/>
        </c:manualLayout>
      </c:layout>
      <c:overlay val="0"/>
      <c:spPr>
        <a:noFill/>
        <a:ln>
          <a:noFill/>
        </a:ln>
        <a:effectLst/>
      </c:spPr>
    </c:title>
    <c:autoTitleDeleted val="0"/>
    <c:plotArea>
      <c:layout>
        <c:manualLayout>
          <c:layoutTarget val="inner"/>
          <c:xMode val="edge"/>
          <c:yMode val="edge"/>
          <c:x val="0.110570707070707"/>
          <c:y val="0.300371189773845"/>
          <c:w val="0.815795803821997"/>
          <c:h val="0.540198061525495"/>
        </c:manualLayout>
      </c:layout>
      <c:lineChart>
        <c:grouping val="standard"/>
        <c:varyColors val="0"/>
        <c:ser>
          <c:idx val="0"/>
          <c:order val="0"/>
          <c:spPr>
            <a:ln w="31750" cap="rnd" cmpd="sng" algn="ctr">
              <a:solidFill>
                <a:srgbClr val="C2C192">
                  <a:alpha val="99000"/>
                </a:srgbClr>
              </a:solidFill>
              <a:prstDash val="sysDot"/>
              <a:round/>
            </a:ln>
            <a:effectLst/>
          </c:spPr>
          <c:marker>
            <c:symbol val="none"/>
          </c:marker>
          <c:dPt>
            <c:idx val="0"/>
            <c:marker>
              <c:symbol val="picture"/>
              <c:spPr>
                <a:blipFill>
                  <a:blip xmlns:r="http://schemas.openxmlformats.org/officeDocument/2006/relationships" r:embed="rId3"/>
                  <a:stretch>
                    <a:fillRect/>
                  </a:stretch>
                </a:blipFill>
                <a:ln w="6350" cap="flat" cmpd="sng" algn="ctr">
                  <a:noFill/>
                  <a:prstDash val="solid"/>
                  <a:round/>
                </a:ln>
                <a:effectLst/>
              </c:spPr>
            </c:marker>
            <c:bubble3D val="0"/>
          </c:dPt>
          <c:dPt>
            <c:idx val="1"/>
            <c:marker>
              <c:symbol val="picture"/>
              <c:spPr>
                <a:blipFill>
                  <a:blip xmlns:r="http://schemas.openxmlformats.org/officeDocument/2006/relationships" r:embed="rId3"/>
                  <a:stretch>
                    <a:fillRect/>
                  </a:stretch>
                </a:blipFill>
                <a:ln w="6350" cap="flat" cmpd="sng" algn="ctr">
                  <a:noFill/>
                  <a:prstDash val="solid"/>
                  <a:round/>
                </a:ln>
                <a:effectLst/>
              </c:spPr>
            </c:marker>
            <c:bubble3D val="0"/>
          </c:dPt>
          <c:dPt>
            <c:idx val="2"/>
            <c:marker>
              <c:symbol val="picture"/>
              <c:spPr>
                <a:blipFill>
                  <a:blip xmlns:r="http://schemas.openxmlformats.org/officeDocument/2006/relationships" r:embed="rId3"/>
                  <a:stretch>
                    <a:fillRect/>
                  </a:stretch>
                </a:blipFill>
                <a:ln w="6350" cap="flat" cmpd="sng" algn="ctr">
                  <a:noFill/>
                  <a:prstDash val="solid"/>
                  <a:round/>
                </a:ln>
                <a:effectLst/>
              </c:spPr>
            </c:marker>
            <c:bubble3D val="0"/>
          </c:dPt>
          <c:dPt>
            <c:idx val="3"/>
            <c:marker>
              <c:symbol val="picture"/>
              <c:spPr>
                <a:blipFill>
                  <a:blip xmlns:r="http://schemas.openxmlformats.org/officeDocument/2006/relationships" r:embed="rId3"/>
                  <a:stretch>
                    <a:fillRect/>
                  </a:stretch>
                </a:blipFill>
                <a:ln w="6350" cap="flat" cmpd="sng" algn="ctr">
                  <a:noFill/>
                  <a:prstDash val="solid"/>
                  <a:round/>
                </a:ln>
                <a:effectLst/>
              </c:spPr>
            </c:marker>
            <c:bubble3D val="0"/>
          </c:dPt>
          <c:dPt>
            <c:idx val="4"/>
            <c:marker>
              <c:symbol val="picture"/>
              <c:spPr>
                <a:blipFill>
                  <a:blip xmlns:r="http://schemas.openxmlformats.org/officeDocument/2006/relationships" r:embed="rId3"/>
                  <a:stretch>
                    <a:fillRect/>
                  </a:stretch>
                </a:blipFill>
                <a:ln w="6350" cap="flat" cmpd="sng" algn="ctr">
                  <a:noFill/>
                  <a:prstDash val="solid"/>
                  <a:round/>
                </a:ln>
                <a:effectLst/>
              </c:spPr>
            </c:marker>
            <c:bubble3D val="0"/>
          </c:dPt>
          <c:dPt>
            <c:idx val="5"/>
            <c:marker>
              <c:symbol val="picture"/>
              <c:spPr>
                <a:blipFill>
                  <a:blip xmlns:r="http://schemas.openxmlformats.org/officeDocument/2006/relationships" r:embed="rId3"/>
                  <a:stretch>
                    <a:fillRect/>
                  </a:stretch>
                </a:blipFill>
                <a:ln w="6350" cap="flat" cmpd="sng" algn="ctr">
                  <a:noFill/>
                  <a:prstDash val="solid"/>
                  <a:round/>
                </a:ln>
                <a:effectLst/>
              </c:spPr>
            </c:marker>
            <c:bubble3D val="0"/>
          </c:dPt>
          <c:dLbls>
            <c:delete val="1"/>
          </c:dLbls>
          <c:cat>
            <c:strRef>
              <c:f>'[新建 XLSX 工作表.xlsx]Sheet1'!$A$1:$A$6</c:f>
              <c:strCache>
                <c:ptCount val="6"/>
                <c:pt idx="0">
                  <c:v>土地征收补偿</c:v>
                </c:pt>
                <c:pt idx="1">
                  <c:v>房屋拆迁改造</c:v>
                </c:pt>
                <c:pt idx="2">
                  <c:v>土地规划</c:v>
                </c:pt>
                <c:pt idx="3">
                  <c:v>统计信息</c:v>
                </c:pt>
                <c:pt idx="4">
                  <c:v>环境保护</c:v>
                </c:pt>
                <c:pt idx="5">
                  <c:v>其他</c:v>
                </c:pt>
              </c:strCache>
            </c:strRef>
          </c:cat>
          <c:val>
            <c:numRef>
              <c:f>'[新建 XLSX 工作表.xlsx]Sheet1'!$B$1:$B$6</c:f>
              <c:numCache>
                <c:formatCode>General</c:formatCode>
                <c:ptCount val="6"/>
                <c:pt idx="0">
                  <c:v>16</c:v>
                </c:pt>
                <c:pt idx="1">
                  <c:v>7</c:v>
                </c:pt>
                <c:pt idx="2">
                  <c:v>4</c:v>
                </c:pt>
                <c:pt idx="3">
                  <c:v>3</c:v>
                </c:pt>
                <c:pt idx="4">
                  <c:v>3</c:v>
                </c:pt>
                <c:pt idx="5">
                  <c:v>4</c:v>
                </c:pt>
              </c:numCache>
            </c:numRef>
          </c:val>
          <c:smooth val="1"/>
        </c:ser>
        <c:dLbls>
          <c:showLegendKey val="0"/>
          <c:showVal val="0"/>
          <c:showCatName val="0"/>
          <c:showSerName val="0"/>
          <c:showPercent val="0"/>
          <c:showBubbleSize val="0"/>
        </c:dLbls>
        <c:marker val="0"/>
        <c:smooth val="1"/>
        <c:axId val="998155096"/>
        <c:axId val="858689348"/>
      </c:lineChart>
      <c:catAx>
        <c:axId val="998155096"/>
        <c:scaling>
          <c:orientation val="minMax"/>
        </c:scaling>
        <c:delete val="0"/>
        <c:axPos val="b"/>
        <c:majorGridlines>
          <c:spPr>
            <a:ln w="9525" cap="flat" cmpd="sng" algn="ctr">
              <a:solidFill>
                <a:schemeClr val="tx1">
                  <a:tint val="75000"/>
                  <a:alpha val="24000"/>
                </a:schemeClr>
              </a:solidFill>
              <a:prstDash val="solid"/>
              <a:round/>
            </a:ln>
            <a:effectLst/>
          </c:spPr>
        </c:majorGridlines>
        <c:numFmt formatCode="General" sourceLinked="0"/>
        <c:majorTickMark val="none"/>
        <c:minorTickMark val="none"/>
        <c:tickLblPos val="nextTo"/>
        <c:spPr>
          <a:noFill/>
          <a:ln w="9525"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858689348"/>
        <c:crosses val="autoZero"/>
        <c:auto val="1"/>
        <c:lblAlgn val="ctr"/>
        <c:lblOffset val="100"/>
        <c:noMultiLvlLbl val="0"/>
      </c:catAx>
      <c:valAx>
        <c:axId val="858689348"/>
        <c:scaling>
          <c:orientation val="minMax"/>
        </c:scaling>
        <c:delete val="0"/>
        <c:axPos val="l"/>
        <c:majorGridlines>
          <c:spPr>
            <a:ln w="9525" cap="flat" cmpd="sng" algn="ctr">
              <a:solidFill>
                <a:schemeClr val="bg1">
                  <a:lumMod val="85000"/>
                  <a:alpha val="30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forceAA="0"/>
          <a:lstStyle/>
          <a:p>
            <a:pPr>
              <a:defRPr lang="zh-CN" sz="600" b="0" i="0" u="none" strike="noStrike" kern="1200" baseline="0">
                <a:solidFill>
                  <a:schemeClr val="tx1">
                    <a:lumMod val="75000"/>
                    <a:lumOff val="25000"/>
                    <a:alpha val="51000"/>
                  </a:schemeClr>
                </a:solidFill>
                <a:latin typeface="微软雅黑 Light" panose="020B0502040204020203" pitchFamily="34" charset="-122"/>
                <a:ea typeface="微软雅黑 Light" panose="020B0502040204020203" pitchFamily="34" charset="-122"/>
                <a:cs typeface="+mn-cs"/>
              </a:defRPr>
            </a:pPr>
          </a:p>
        </c:txPr>
        <c:crossAx val="998155096"/>
        <c:crosses val="autoZero"/>
        <c:crossBetween val="between"/>
      </c:valAx>
      <c:spPr>
        <a:noFill/>
        <a:ln>
          <a:solidFill>
            <a:schemeClr val="bg1">
              <a:lumMod val="85000"/>
            </a:schemeClr>
          </a:solidFill>
        </a:ln>
        <a:effectLst>
          <a:outerShdw blurRad="38100" dist="38100" dir="2700000" algn="tl" rotWithShape="0">
            <a:prstClr val="black">
              <a:alpha val="45000"/>
            </a:prstClr>
          </a:outerShdw>
        </a:effectLst>
      </c:spPr>
    </c:plotArea>
    <c:plotVisOnly val="1"/>
    <c:dispBlanksAs val="zero"/>
    <c:showDLblsOverMax val="0"/>
  </c:chart>
  <c:spPr>
    <a:blipFill rotWithShape="1">
      <a:blip xmlns:r="http://schemas.openxmlformats.org/officeDocument/2006/relationships" r:embed="rId4"/>
      <a:stretch>
        <a:fillRect/>
      </a:stretch>
    </a:blipFill>
    <a:ln w="9525" cap="flat" cmpd="sng" algn="ctr">
      <a:solidFill>
        <a:schemeClr val="bg1">
          <a:lumMod val="75000"/>
        </a:schemeClr>
      </a:solidFill>
      <a:prstDash val="solid"/>
      <a:round/>
    </a:ln>
    <a:effectLst>
      <a:outerShdw blurRad="63500" dist="37357" dir="2700000" sx="0" sy="0" rotWithShape="0">
        <a:scrgbClr r="0" g="0" b="0"/>
      </a:outerShdw>
    </a:effectLst>
  </c:spPr>
  <c:txPr>
    <a:bodyPr/>
    <a:lstStyle/>
    <a:p>
      <a:pPr>
        <a:defRPr lang="zh-CN">
          <a:solidFill>
            <a:schemeClr val="tx1">
              <a:lumMod val="75000"/>
              <a:lumOff val="25000"/>
            </a:schemeClr>
          </a:solidFill>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754</Words>
  <Characters>4304</Characters>
  <Lines>35</Lines>
  <Paragraphs>10</Paragraphs>
  <TotalTime>1</TotalTime>
  <ScaleCrop>false</ScaleCrop>
  <LinksUpToDate>false</LinksUpToDate>
  <CharactersWithSpaces>5048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2020-01-20T01:16:00Z</dcterms:created>
  <dc:creator>Administrator</dc:creator>
  <cp:lastModifiedBy>七月上</cp:lastModifiedBy>
  <dcterms:modified xsi:type="dcterms:W3CDTF">2025-05-15T08:21:51Z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C94FFFA835FB4E49BF910B63D6557D05</vt:lpwstr>
  </property>
</Properties>
</file>