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沂南县人民政府</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w:t>
      </w:r>
      <w:r>
        <w:rPr>
          <w:rFonts w:hint="default" w:ascii="方正小标宋简体" w:hAnsi="方正小标宋简体" w:eastAsia="方正小标宋简体" w:cs="方正小标宋简体"/>
          <w:sz w:val="44"/>
          <w:szCs w:val="44"/>
        </w:rPr>
        <w:t>年政府信息公开工作年度报告</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20" w:firstLineChars="200"/>
        <w:jc w:val="both"/>
        <w:textAlignment w:val="auto"/>
        <w:rPr>
          <w:rFonts w:ascii="仿宋" w:hAnsi="仿宋" w:eastAsia="仿宋" w:cs="仿宋"/>
          <w:color w:val="000000"/>
          <w:kern w:val="0"/>
          <w:sz w:val="31"/>
          <w:szCs w:val="31"/>
          <w:lang w:val="en-US" w:eastAsia="zh-CN" w:bidi="ar"/>
        </w:rPr>
      </w:pPr>
    </w:p>
    <w:p>
      <w:pPr>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eastAsia="仿宋_GB2312" w:cs="Times New Roman"/>
          <w:kern w:val="0"/>
          <w:sz w:val="32"/>
          <w:szCs w:val="32"/>
          <w:lang w:val="en-US" w:eastAsia="zh-CN"/>
        </w:rPr>
        <w:t>本报告由沂南县人民政府办公室</w:t>
      </w:r>
      <w:r>
        <w:rPr>
          <w:rFonts w:hint="default" w:ascii="Times New Roman" w:hAnsi="Times New Roman" w:eastAsia="仿宋_GB2312" w:cs="Times New Roman"/>
          <w:kern w:val="0"/>
          <w:sz w:val="32"/>
          <w:szCs w:val="32"/>
        </w:rPr>
        <w:t>根据《中华人民共和国政府信息公开条例》（以下简</w:t>
      </w:r>
      <w:r>
        <w:rPr>
          <w:rFonts w:hint="default" w:ascii="仿宋_GB2312" w:hAnsi="仿宋_GB2312" w:eastAsia="仿宋_GB2312" w:cs="仿宋_GB2312"/>
          <w:b w:val="0"/>
          <w:bCs w:val="0"/>
          <w:kern w:val="0"/>
          <w:sz w:val="32"/>
          <w:szCs w:val="32"/>
          <w:lang w:val="en-US" w:eastAsia="zh-CN" w:bidi="ar"/>
        </w:rPr>
        <w:t>称《条例》）和《国务院办公厅政府信息与政务公开办公室</w:t>
      </w:r>
      <w:r>
        <w:rPr>
          <w:rFonts w:hint="eastAsia" w:ascii="仿宋_GB2312" w:hAnsi="仿宋_GB2312" w:eastAsia="仿宋_GB2312" w:cs="仿宋_GB2312"/>
          <w:b w:val="0"/>
          <w:bCs w:val="0"/>
          <w:kern w:val="0"/>
          <w:sz w:val="32"/>
          <w:szCs w:val="32"/>
          <w:lang w:val="en-US" w:eastAsia="zh-CN" w:bidi="ar"/>
        </w:rPr>
        <w:t>关于印发&lt;中华人民共和国政府信息公开工作年度报告格式&gt;的通知</w:t>
      </w:r>
      <w:r>
        <w:rPr>
          <w:rFonts w:hint="default" w:ascii="仿宋_GB2312" w:hAnsi="仿宋_GB2312" w:eastAsia="仿宋_GB2312" w:cs="仿宋_GB2312"/>
          <w:b w:val="0"/>
          <w:bCs w:val="0"/>
          <w:kern w:val="0"/>
          <w:sz w:val="32"/>
          <w:szCs w:val="32"/>
          <w:lang w:val="en-US" w:eastAsia="zh-CN" w:bidi="ar"/>
        </w:rPr>
        <w:t>》（国办公开办函〔</w:t>
      </w:r>
      <w:r>
        <w:rPr>
          <w:rFonts w:hint="eastAsia" w:ascii="仿宋_GB2312" w:hAnsi="仿宋_GB2312" w:eastAsia="仿宋_GB2312" w:cs="仿宋_GB2312"/>
          <w:b w:val="0"/>
          <w:bCs w:val="0"/>
          <w:kern w:val="0"/>
          <w:sz w:val="32"/>
          <w:szCs w:val="32"/>
          <w:lang w:val="en-US" w:eastAsia="zh-CN" w:bidi="ar"/>
        </w:rPr>
        <w:t>2021</w:t>
      </w:r>
      <w:r>
        <w:rPr>
          <w:rFonts w:hint="default" w:ascii="仿宋_GB2312" w:hAnsi="仿宋_GB2312" w:eastAsia="仿宋_GB2312" w:cs="仿宋_GB2312"/>
          <w:b w:val="0"/>
          <w:bCs w:val="0"/>
          <w:kern w:val="0"/>
          <w:sz w:val="32"/>
          <w:szCs w:val="32"/>
          <w:lang w:val="en-US" w:eastAsia="zh-CN" w:bidi="ar"/>
        </w:rPr>
        <w:t>〕</w:t>
      </w:r>
      <w:r>
        <w:rPr>
          <w:rFonts w:hint="eastAsia" w:ascii="仿宋_GB2312" w:hAnsi="仿宋_GB2312" w:eastAsia="仿宋_GB2312" w:cs="仿宋_GB2312"/>
          <w:b w:val="0"/>
          <w:bCs w:val="0"/>
          <w:kern w:val="0"/>
          <w:sz w:val="32"/>
          <w:szCs w:val="32"/>
          <w:lang w:val="en-US" w:eastAsia="zh-CN" w:bidi="ar"/>
        </w:rPr>
        <w:t>30</w:t>
      </w:r>
      <w:r>
        <w:rPr>
          <w:rFonts w:hint="default" w:ascii="仿宋_GB2312" w:hAnsi="仿宋_GB2312" w:eastAsia="仿宋_GB2312" w:cs="仿宋_GB2312"/>
          <w:b w:val="0"/>
          <w:bCs w:val="0"/>
          <w:kern w:val="0"/>
          <w:sz w:val="32"/>
          <w:szCs w:val="32"/>
          <w:lang w:val="en-US" w:eastAsia="zh-CN" w:bidi="ar"/>
        </w:rPr>
        <w:t>号）</w:t>
      </w:r>
      <w:r>
        <w:rPr>
          <w:rFonts w:hint="eastAsia" w:ascii="仿宋_GB2312" w:hAnsi="仿宋_GB2312" w:eastAsia="仿宋_GB2312" w:cs="仿宋_GB2312"/>
          <w:b w:val="0"/>
          <w:bCs w:val="0"/>
          <w:kern w:val="0"/>
          <w:sz w:val="32"/>
          <w:szCs w:val="32"/>
          <w:lang w:val="en-US" w:eastAsia="zh-CN" w:bidi="ar"/>
        </w:rPr>
        <w:t>相关</w:t>
      </w:r>
      <w:r>
        <w:rPr>
          <w:rFonts w:hint="default" w:ascii="仿宋_GB2312" w:hAnsi="仿宋_GB2312" w:eastAsia="仿宋_GB2312" w:cs="仿宋_GB2312"/>
          <w:b w:val="0"/>
          <w:bCs w:val="0"/>
          <w:kern w:val="0"/>
          <w:sz w:val="32"/>
          <w:szCs w:val="32"/>
          <w:lang w:val="en-US" w:eastAsia="zh-CN" w:bidi="ar"/>
        </w:rPr>
        <w:t>要求</w:t>
      </w:r>
      <w:r>
        <w:rPr>
          <w:rFonts w:hint="eastAsia" w:ascii="仿宋_GB2312" w:hAnsi="仿宋_GB2312" w:eastAsia="仿宋_GB2312" w:cs="仿宋_GB2312"/>
          <w:b w:val="0"/>
          <w:bCs w:val="0"/>
          <w:kern w:val="0"/>
          <w:sz w:val="32"/>
          <w:szCs w:val="32"/>
          <w:lang w:val="en-US" w:eastAsia="zh-CN" w:bidi="ar"/>
        </w:rPr>
        <w:t>编制</w:t>
      </w:r>
      <w:r>
        <w:rPr>
          <w:rFonts w:hint="default" w:ascii="仿宋_GB2312" w:hAnsi="仿宋_GB2312" w:eastAsia="仿宋_GB2312" w:cs="仿宋_GB2312"/>
          <w:b w:val="0"/>
          <w:bCs w:val="0"/>
          <w:kern w:val="0"/>
          <w:sz w:val="32"/>
          <w:szCs w:val="32"/>
          <w:lang w:val="en-US" w:eastAsia="zh-CN" w:bidi="ar"/>
        </w:rPr>
        <w:t>，</w:t>
      </w:r>
      <w:r>
        <w:rPr>
          <w:rFonts w:hint="eastAsia" w:ascii="仿宋_GB2312" w:hAnsi="仿宋_GB2312" w:eastAsia="仿宋_GB2312" w:cs="仿宋_GB2312"/>
          <w:b w:val="0"/>
          <w:bCs w:val="0"/>
          <w:kern w:val="0"/>
          <w:sz w:val="32"/>
          <w:szCs w:val="32"/>
          <w:lang w:val="en-US" w:eastAsia="zh-CN" w:bidi="ar"/>
        </w:rPr>
        <w:t>内容包括总体情况、主动公开政府信息情况、收到和处理政府信息公开申请情况、政府信息公开行政复议和行政诉讼情况、存在的主要问题及改进措施、其他需要报告的事</w:t>
      </w:r>
      <w:r>
        <w:rPr>
          <w:rFonts w:hint="eastAsia" w:ascii="Times New Roman" w:hAnsi="Times New Roman" w:eastAsia="仿宋_GB2312" w:cs="Times New Roman"/>
          <w:kern w:val="0"/>
          <w:sz w:val="32"/>
          <w:szCs w:val="32"/>
        </w:rPr>
        <w:t>项共6个部分组成。</w:t>
      </w:r>
      <w:r>
        <w:rPr>
          <w:rFonts w:hint="eastAsia" w:ascii="Times New Roman" w:hAnsi="Times New Roman" w:eastAsia="仿宋_GB2312" w:cs="Times New Roman"/>
          <w:kern w:val="0"/>
          <w:sz w:val="32"/>
          <w:szCs w:val="32"/>
          <w:lang w:val="en-US" w:eastAsia="zh-CN"/>
        </w:rPr>
        <w:t>本报告中</w:t>
      </w:r>
      <w:r>
        <w:rPr>
          <w:rFonts w:hint="default" w:ascii="Times New Roman" w:hAnsi="Times New Roman" w:eastAsia="仿宋_GB2312" w:cs="Times New Roman"/>
          <w:kern w:val="0"/>
          <w:sz w:val="32"/>
          <w:szCs w:val="32"/>
        </w:rPr>
        <w:t>所列数据统计期限自</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年1月1日起至20</w:t>
      </w:r>
      <w:r>
        <w:rPr>
          <w:rFonts w:hint="eastAsia"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年12月31日止。本报告电子版可在</w:t>
      </w:r>
      <w:r>
        <w:rPr>
          <w:rFonts w:hint="eastAsia" w:eastAsia="仿宋_GB2312" w:cs="Times New Roman"/>
          <w:kern w:val="0"/>
          <w:sz w:val="32"/>
          <w:szCs w:val="32"/>
          <w:lang w:val="en-US" w:eastAsia="zh-CN"/>
        </w:rPr>
        <w:t>沂南县</w:t>
      </w:r>
      <w:r>
        <w:rPr>
          <w:rFonts w:hint="default" w:ascii="Times New Roman" w:hAnsi="Times New Roman" w:eastAsia="仿宋_GB2312" w:cs="Times New Roman"/>
          <w:kern w:val="0"/>
          <w:sz w:val="32"/>
          <w:szCs w:val="32"/>
        </w:rPr>
        <w:t>人民政府门户网站（http://www.yinan.gov.cn/）查阅或下载。如对本报告有疑问，请与</w:t>
      </w:r>
      <w:r>
        <w:rPr>
          <w:rFonts w:hint="eastAsia" w:eastAsia="仿宋_GB2312" w:cs="Times New Roman"/>
          <w:kern w:val="0"/>
          <w:sz w:val="32"/>
          <w:szCs w:val="32"/>
          <w:lang w:val="en-US" w:eastAsia="zh-CN"/>
        </w:rPr>
        <w:t>沂南县</w:t>
      </w:r>
      <w:r>
        <w:rPr>
          <w:rFonts w:hint="default" w:ascii="Times New Roman" w:hAnsi="Times New Roman" w:eastAsia="仿宋_GB2312" w:cs="Times New Roman"/>
          <w:kern w:val="0"/>
          <w:sz w:val="32"/>
          <w:szCs w:val="32"/>
        </w:rPr>
        <w:t>人民政府办公室联系（地址：</w:t>
      </w:r>
      <w:r>
        <w:rPr>
          <w:rFonts w:hint="eastAsia" w:eastAsia="仿宋_GB2312" w:cs="Times New Roman"/>
          <w:kern w:val="0"/>
          <w:sz w:val="32"/>
          <w:szCs w:val="32"/>
          <w:lang w:val="en-US" w:eastAsia="zh-CN"/>
        </w:rPr>
        <w:t>沂南县人民路</w:t>
      </w:r>
      <w:r>
        <w:rPr>
          <w:rFonts w:hint="default" w:ascii="Times New Roman" w:hAnsi="Times New Roman" w:eastAsia="仿宋_GB2312" w:cs="Times New Roman"/>
          <w:kern w:val="0"/>
          <w:sz w:val="32"/>
          <w:szCs w:val="32"/>
        </w:rPr>
        <w:t>行政中心</w:t>
      </w:r>
      <w:r>
        <w:rPr>
          <w:rFonts w:hint="eastAsia" w:eastAsia="仿宋_GB2312" w:cs="Times New Roman"/>
          <w:kern w:val="0"/>
          <w:sz w:val="32"/>
          <w:szCs w:val="32"/>
          <w:lang w:val="en-US" w:eastAsia="zh-CN"/>
        </w:rPr>
        <w:t>42号</w:t>
      </w:r>
      <w:r>
        <w:rPr>
          <w:rFonts w:hint="default" w:ascii="Times New Roman" w:hAnsi="Times New Roman" w:eastAsia="仿宋_GB2312" w:cs="Times New Roman"/>
          <w:kern w:val="0"/>
          <w:sz w:val="32"/>
          <w:szCs w:val="32"/>
        </w:rPr>
        <w:t>；邮编：276</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00；电话：0539-</w:t>
      </w:r>
      <w:r>
        <w:rPr>
          <w:rFonts w:hint="eastAsia" w:eastAsia="仿宋_GB2312" w:cs="Times New Roman"/>
          <w:kern w:val="0"/>
          <w:sz w:val="32"/>
          <w:szCs w:val="32"/>
          <w:lang w:val="en-US" w:eastAsia="zh-CN"/>
        </w:rPr>
        <w:t>3229017</w:t>
      </w:r>
      <w:r>
        <w:rPr>
          <w:rFonts w:hint="default" w:ascii="Times New Roman" w:hAnsi="Times New Roman" w:eastAsia="仿宋_GB2312" w:cs="Times New Roman"/>
          <w:kern w:val="0"/>
          <w:sz w:val="32"/>
          <w:szCs w:val="32"/>
        </w:rPr>
        <w:t>；传真：0539-</w:t>
      </w:r>
      <w:r>
        <w:rPr>
          <w:rFonts w:hint="eastAsia" w:eastAsia="仿宋_GB2312" w:cs="Times New Roman"/>
          <w:kern w:val="0"/>
          <w:sz w:val="32"/>
          <w:szCs w:val="32"/>
          <w:lang w:val="en-US" w:eastAsia="zh-CN"/>
        </w:rPr>
        <w:t>3221962</w:t>
      </w:r>
      <w:r>
        <w:rPr>
          <w:rFonts w:hint="default" w:ascii="Times New Roman" w:hAnsi="Times New Roman" w:eastAsia="仿宋_GB2312" w:cs="Times New Roman"/>
          <w:kern w:val="0"/>
          <w:sz w:val="32"/>
          <w:szCs w:val="32"/>
        </w:rPr>
        <w:t>；电子邮箱：</w:t>
      </w:r>
      <w:r>
        <w:rPr>
          <w:rFonts w:hint="eastAsia" w:eastAsia="仿宋_GB2312" w:cs="Times New Roman"/>
          <w:kern w:val="0"/>
          <w:sz w:val="32"/>
          <w:szCs w:val="32"/>
          <w:lang w:val="en-US" w:eastAsia="zh-CN"/>
        </w:rPr>
        <w:t>ynxzfxxgk</w:t>
      </w:r>
      <w:r>
        <w:rPr>
          <w:rFonts w:hint="default" w:ascii="Times New Roman" w:hAnsi="Times New Roman" w:eastAsia="仿宋_GB2312" w:cs="Times New Roman"/>
          <w:kern w:val="0"/>
          <w:sz w:val="32"/>
          <w:szCs w:val="32"/>
        </w:rPr>
        <w:t>@ly.shandong.cn）。</w:t>
      </w:r>
      <w:r>
        <w:rPr>
          <w:rFonts w:hint="eastAsia" w:ascii="仿宋_GB2312" w:hAnsi="仿宋_GB2312" w:eastAsia="仿宋_GB2312" w:cs="仿宋_GB2312"/>
          <w:color w:val="000000"/>
          <w:kern w:val="0"/>
          <w:sz w:val="32"/>
          <w:szCs w:val="32"/>
          <w:lang w:val="en-US" w:eastAsia="zh-CN" w:bidi="ar"/>
        </w:rPr>
        <w:t xml:space="preserve"> </w:t>
      </w:r>
    </w:p>
    <w:p>
      <w:pPr>
        <w:pStyle w:val="5"/>
        <w:keepNext w:val="0"/>
        <w:keepLines w:val="0"/>
        <w:pageBreakBefore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lang w:val="en-US" w:eastAsia="zh-CN"/>
        </w:rPr>
      </w:pPr>
      <w:r>
        <w:rPr>
          <w:rFonts w:hint="eastAsia" w:ascii="黑体" w:hAnsi="宋体" w:eastAsia="黑体" w:cs="黑体"/>
          <w:color w:val="000000"/>
          <w:kern w:val="0"/>
          <w:sz w:val="31"/>
          <w:szCs w:val="31"/>
          <w:lang w:val="en-US" w:eastAsia="zh-CN" w:bidi="ar"/>
        </w:rPr>
        <w:t xml:space="preserve">一、总体情况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202</w:t>
      </w:r>
      <w:r>
        <w:rPr>
          <w:rFonts w:hint="eastAsia" w:ascii="仿宋_GB2312" w:hAnsi="仿宋_GB2312" w:eastAsia="仿宋_GB2312" w:cs="仿宋_GB2312"/>
          <w:color w:val="auto"/>
          <w:kern w:val="0"/>
          <w:sz w:val="32"/>
          <w:szCs w:val="32"/>
          <w:lang w:val="en-US" w:eastAsia="zh-CN" w:bidi="ar"/>
        </w:rPr>
        <w:t>2年，沂南县以习近平新时代中国特色社会主义思想为指导，全面落实国家和省、市关于政务公开的决策部署，围绕县委、县政府中心工作，以公开促落实、促规范、促服务，持续提升政务公开标准化、规范化水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（一）主动公开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2022年，全县通过沂南县人民政府网站公开政府信息7516条。制</w:t>
      </w:r>
      <w:r>
        <w:rPr>
          <w:rFonts w:hint="eastAsia" w:ascii="仿宋_GB2312" w:hAnsi="仿宋_GB2312" w:eastAsia="仿宋_GB2312" w:cs="仿宋_GB2312"/>
          <w:color w:val="000000"/>
          <w:kern w:val="0"/>
          <w:sz w:val="32"/>
          <w:szCs w:val="32"/>
          <w:lang w:val="en-US" w:eastAsia="zh-CN" w:bidi="ar"/>
        </w:rPr>
        <w:t>发规范性文件6件，废止5件，公开县政府和县政府办公室文件87件，配发图文、主要负责人、媒体解读等解读材料169件。45</w:t>
      </w:r>
      <w:r>
        <w:rPr>
          <w:rFonts w:hint="default" w:ascii="仿宋_GB2312" w:hAnsi="仿宋_GB2312" w:eastAsia="仿宋_GB2312" w:cs="仿宋_GB2312"/>
          <w:color w:val="000000"/>
          <w:kern w:val="0"/>
          <w:sz w:val="32"/>
          <w:szCs w:val="32"/>
          <w:lang w:val="en-US" w:eastAsia="zh-CN" w:bidi="ar"/>
        </w:rPr>
        <w:t>个乡镇（街道）</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部门</w:t>
      </w:r>
      <w:r>
        <w:rPr>
          <w:rFonts w:hint="eastAsia" w:ascii="仿宋_GB2312" w:hAnsi="仿宋_GB2312" w:eastAsia="仿宋_GB2312" w:cs="仿宋_GB2312"/>
          <w:color w:val="000000"/>
          <w:kern w:val="0"/>
          <w:sz w:val="32"/>
          <w:szCs w:val="32"/>
          <w:lang w:val="en-US" w:eastAsia="zh-CN" w:bidi="ar"/>
        </w:rPr>
        <w:t>公开了机构设置、办公时间、联系方式和负责人姓名。优化“规划计划”专栏，集中展示国民经济和社会发展规划、国土空间规划、专项规划、区域规划等。</w:t>
      </w:r>
      <w:r>
        <w:rPr>
          <w:rFonts w:hint="default" w:ascii="仿宋_GB2312" w:hAnsi="仿宋_GB2312" w:eastAsia="仿宋_GB2312" w:cs="仿宋_GB2312"/>
          <w:color w:val="000000"/>
          <w:kern w:val="0"/>
          <w:sz w:val="32"/>
          <w:szCs w:val="32"/>
          <w:lang w:val="en-US" w:eastAsia="zh-CN" w:bidi="ar"/>
        </w:rPr>
        <w:t>发布202</w:t>
      </w: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val="en-US" w:eastAsia="zh-CN" w:bidi="ar"/>
        </w:rPr>
        <w:t>年沂南县国民经济和社会发展统计公报、统计年鉴</w:t>
      </w:r>
      <w:r>
        <w:rPr>
          <w:rFonts w:hint="eastAsia" w:ascii="仿宋_GB2312" w:hAnsi="仿宋_GB2312" w:eastAsia="仿宋_GB2312" w:cs="仿宋_GB2312"/>
          <w:color w:val="000000"/>
          <w:kern w:val="0"/>
          <w:sz w:val="32"/>
          <w:szCs w:val="32"/>
          <w:lang w:val="en-US" w:eastAsia="zh-CN" w:bidi="ar"/>
        </w:rPr>
        <w:t>，按月公开统计数据</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在</w:t>
      </w:r>
      <w:r>
        <w:rPr>
          <w:rFonts w:hint="default" w:ascii="仿宋_GB2312" w:hAnsi="仿宋_GB2312" w:eastAsia="仿宋_GB2312" w:cs="仿宋_GB2312"/>
          <w:color w:val="000000"/>
          <w:kern w:val="0"/>
          <w:sz w:val="32"/>
          <w:szCs w:val="32"/>
          <w:lang w:val="en-US" w:eastAsia="zh-CN" w:bidi="ar"/>
        </w:rPr>
        <w:t>山东政务服务平台，公开行政许可</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行政处罚、行政强制</w:t>
      </w:r>
      <w:r>
        <w:rPr>
          <w:rFonts w:hint="eastAsia" w:ascii="仿宋_GB2312" w:hAnsi="仿宋_GB2312" w:eastAsia="仿宋_GB2312" w:cs="仿宋_GB2312"/>
          <w:color w:val="000000"/>
          <w:kern w:val="0"/>
          <w:sz w:val="32"/>
          <w:szCs w:val="32"/>
          <w:lang w:val="en-US" w:eastAsia="zh-CN" w:bidi="ar"/>
        </w:rPr>
        <w:t>和其他对外管理服务事项的依据、条件、程序以及办理结果。依托临沂市财政预决算公开平台，公开了2021年财政决算和2022年财政预决算信息。按月更新执行的行政事业性收费目录清单。发布2022年政府采购目录及标准及采购实施情况。推进</w:t>
      </w:r>
      <w:r>
        <w:rPr>
          <w:rFonts w:hint="default" w:ascii="仿宋_GB2312" w:hAnsi="仿宋_GB2312" w:eastAsia="仿宋_GB2312" w:cs="仿宋_GB2312"/>
          <w:color w:val="000000"/>
          <w:kern w:val="0"/>
          <w:sz w:val="32"/>
          <w:szCs w:val="32"/>
          <w:lang w:val="en-US" w:eastAsia="zh-CN" w:bidi="ar"/>
        </w:rPr>
        <w:t>重大建设项目</w:t>
      </w:r>
      <w:r>
        <w:rPr>
          <w:rFonts w:hint="eastAsia" w:ascii="仿宋_GB2312" w:hAnsi="仿宋_GB2312" w:eastAsia="仿宋_GB2312" w:cs="仿宋_GB2312"/>
          <w:color w:val="000000"/>
          <w:kern w:val="0"/>
          <w:sz w:val="32"/>
          <w:szCs w:val="32"/>
          <w:lang w:val="en-US" w:eastAsia="zh-CN" w:bidi="ar"/>
        </w:rPr>
        <w:t>、公务员招考、教育、医疗、社会保障、就业、环境保护、安全生产、食品药品、产品质量等信息公开。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（二）依申请公开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规范依申请公开办理流程，统一依申请公开答复模板，按照会商研判、提初步意见、审核把关、按期答复、整理归档程序进行办理。</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2年，全县收到政府信息公开申请103件，同比减少8.04%。因依申请公开引发的行政复议案件7件，行政诉讼案件7件。</w:t>
      </w:r>
    </w:p>
    <w:p>
      <w:pPr>
        <w:pStyle w:val="5"/>
        <w:ind w:left="0" w:leftChars="0" w:firstLine="0" w:firstLineChars="0"/>
        <w:jc w:val="center"/>
        <w:rPr>
          <w:rFonts w:hint="eastAsia"/>
          <w:lang w:val="en-US" w:eastAsia="zh-CN"/>
        </w:rPr>
      </w:pPr>
      <w:r>
        <w:rPr>
          <w:rFonts w:hint="eastAsia"/>
          <w:lang w:val="en-US" w:eastAsia="zh-CN"/>
        </w:rPr>
        <w:drawing>
          <wp:inline distT="0" distB="0" distL="114300" distR="114300">
            <wp:extent cx="3815715" cy="2360295"/>
            <wp:effectExtent l="0" t="0" r="13335" b="1905"/>
            <wp:docPr id="3" name="图片 3" descr="a10a3210e8264856df11bcf4f70f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0a3210e8264856df11bcf4f70f258"/>
                    <pic:cNvPicPr>
                      <a:picLocks noChangeAspect="1"/>
                    </pic:cNvPicPr>
                  </pic:nvPicPr>
                  <pic:blipFill>
                    <a:blip r:embed="rId4"/>
                    <a:stretch>
                      <a:fillRect/>
                    </a:stretch>
                  </pic:blipFill>
                  <pic:spPr>
                    <a:xfrm>
                      <a:off x="0" y="0"/>
                      <a:ext cx="3815715" cy="236029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（三）政府信息管理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动态更新《沂南县政府信息主动公开基本目录》，深化基层政务公开标准化规范化工作，发布31个领域基层政务公开标准化目录。设立“政策文件库”专栏，集中公开规范性文件，公开页面标注有效性。对规范性文件进行了备案、清理，继续有效规范性文件20件，废止5件。认真落实《沂南县政府信息公开审查制度》，按照“先审查、后公开”的原则，对拟公开的政府信息依法依规做好保密审查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（四）政府信息公开平台建设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推进沂南县人民政府网站建设，新增公开专栏、优化版块布局等，创新公开内容多元化展示。2022年，刊发《沂南县人民政府公报》4期，发布县政府和县政府办公市文件28件。发挥全县45个新媒体账号优势，增强公开效果。</w:t>
      </w:r>
      <w:r>
        <w:rPr>
          <w:rFonts w:hint="eastAsia" w:ascii="仿宋_GB2312" w:hAnsi="仿宋_GB2312" w:eastAsia="仿宋_GB2312" w:cs="仿宋_GB2312"/>
          <w:i w:val="0"/>
          <w:iCs w:val="0"/>
          <w:caps w:val="0"/>
          <w:color w:val="auto"/>
          <w:spacing w:val="0"/>
          <w:sz w:val="32"/>
          <w:szCs w:val="32"/>
          <w:shd w:val="clear" w:color="auto" w:fill="FFFFFF"/>
          <w:lang w:val="en-US" w:eastAsia="zh-CN"/>
        </w:rPr>
        <w:t>落实政务新媒体监管责任，</w:t>
      </w:r>
      <w:r>
        <w:rPr>
          <w:rFonts w:hint="eastAsia" w:ascii="仿宋_GB2312" w:eastAsia="仿宋_GB2312"/>
          <w:color w:val="auto"/>
          <w:sz w:val="32"/>
          <w:szCs w:val="32"/>
          <w:lang w:val="en-US" w:eastAsia="zh-CN"/>
        </w:rPr>
        <w:t>开展4次季度检查，整改问题122处。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（五）监督保障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color w:val="000000"/>
          <w:kern w:val="0"/>
          <w:sz w:val="32"/>
          <w:szCs w:val="32"/>
          <w:lang w:val="en-US" w:eastAsia="zh-CN" w:bidi="ar"/>
        </w:rPr>
        <w:t>及时调整全县政务公开工作领导小组， </w:t>
      </w:r>
      <w:r>
        <w:rPr>
          <w:rFonts w:hint="eastAsia" w:ascii="仿宋_GB2312" w:hAnsi="黑体" w:eastAsia="仿宋_GB2312"/>
          <w:sz w:val="32"/>
          <w:szCs w:val="32"/>
          <w:lang w:val="en-US" w:eastAsia="zh-CN"/>
        </w:rPr>
        <w:t>继续</w:t>
      </w:r>
      <w:r>
        <w:rPr>
          <w:rFonts w:hint="eastAsia" w:ascii="Times New Roman" w:hAnsi="Times New Roman" w:eastAsia="仿宋_GB2312" w:cs="Times New Roman"/>
          <w:kern w:val="0"/>
          <w:sz w:val="32"/>
          <w:szCs w:val="32"/>
          <w:lang w:val="en-US" w:eastAsia="zh-CN"/>
        </w:rPr>
        <w:t>将政务公开</w:t>
      </w:r>
      <w:r>
        <w:rPr>
          <w:rFonts w:hint="eastAsia"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纳入</w:t>
      </w:r>
      <w:r>
        <w:rPr>
          <w:rFonts w:hint="eastAsia" w:eastAsia="仿宋_GB2312" w:cs="Times New Roman"/>
          <w:kern w:val="0"/>
          <w:sz w:val="32"/>
          <w:szCs w:val="32"/>
          <w:lang w:val="en-US" w:eastAsia="zh-CN"/>
        </w:rPr>
        <w:t>全县</w:t>
      </w:r>
      <w:r>
        <w:rPr>
          <w:rFonts w:hint="eastAsia" w:ascii="Times New Roman" w:hAnsi="Times New Roman" w:eastAsia="仿宋_GB2312" w:cs="Times New Roman"/>
          <w:kern w:val="0"/>
          <w:sz w:val="32"/>
          <w:szCs w:val="32"/>
          <w:lang w:val="en-US" w:eastAsia="zh-CN"/>
        </w:rPr>
        <w:t>经济社会发展综合考核</w:t>
      </w:r>
      <w:r>
        <w:rPr>
          <w:rFonts w:hint="eastAsia" w:eastAsia="仿宋_GB2312" w:cs="Times New Roman"/>
          <w:kern w:val="0"/>
          <w:sz w:val="32"/>
          <w:szCs w:val="32"/>
          <w:lang w:val="en-US" w:eastAsia="zh-CN"/>
        </w:rPr>
        <w:t>。</w:t>
      </w:r>
      <w:r>
        <w:rPr>
          <w:rFonts w:ascii="仿宋_GB2312" w:hAnsi="宋体" w:eastAsia="仿宋_GB2312" w:cs="仿宋_GB2312"/>
          <w:i w:val="0"/>
          <w:iCs w:val="0"/>
          <w:caps w:val="0"/>
          <w:color w:val="000000"/>
          <w:spacing w:val="0"/>
          <w:sz w:val="32"/>
          <w:szCs w:val="32"/>
        </w:rPr>
        <w:t>完善业务</w:t>
      </w:r>
      <w:r>
        <w:rPr>
          <w:rFonts w:hint="eastAsia" w:ascii="仿宋_GB2312" w:hAnsi="宋体" w:eastAsia="仿宋_GB2312" w:cs="仿宋_GB2312"/>
          <w:i w:val="0"/>
          <w:iCs w:val="0"/>
          <w:caps w:val="0"/>
          <w:color w:val="000000"/>
          <w:spacing w:val="0"/>
          <w:sz w:val="32"/>
          <w:szCs w:val="32"/>
        </w:rPr>
        <w:t>培训机制</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仿宋_GB2312" w:eastAsia="仿宋_GB2312" w:cs="仿宋_GB2312"/>
          <w:color w:val="000000"/>
          <w:kern w:val="0"/>
          <w:sz w:val="32"/>
          <w:szCs w:val="32"/>
          <w:lang w:val="en-US" w:eastAsia="zh-CN" w:bidi="ar"/>
        </w:rPr>
        <w:t>通过召开培训会议、以干代训等方式，提升政务公开水平。</w:t>
      </w:r>
      <w:r>
        <w:rPr>
          <w:rFonts w:hint="eastAsia" w:ascii="仿宋_GB2312" w:hAnsi="宋体" w:eastAsia="仿宋_GB2312" w:cs="仿宋_GB2312"/>
          <w:i w:val="0"/>
          <w:iCs w:val="0"/>
          <w:caps w:val="0"/>
          <w:color w:val="000000"/>
          <w:spacing w:val="0"/>
          <w:sz w:val="32"/>
          <w:szCs w:val="32"/>
          <w:lang w:val="en-US" w:eastAsia="zh-CN"/>
        </w:rPr>
        <w:t>2022年，召开政务公开培训会议4次</w:t>
      </w:r>
      <w:r>
        <w:rPr>
          <w:rFonts w:hint="eastAsia" w:ascii="仿宋_GB2312" w:hAnsi="宋体" w:eastAsia="仿宋_GB2312" w:cs="仿宋_GB2312"/>
          <w:i w:val="0"/>
          <w:iCs w:val="0"/>
          <w:caps w:val="0"/>
          <w:color w:val="00000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64" w:afterLines="20" w:line="56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0" w:type="auto"/>
        <w:jc w:val="center"/>
        <w:tblLayout w:type="fixed"/>
        <w:tblCellMar>
          <w:top w:w="0" w:type="dxa"/>
          <w:left w:w="0" w:type="dxa"/>
          <w:bottom w:w="0" w:type="dxa"/>
          <w:right w:w="0" w:type="dxa"/>
        </w:tblCellMar>
      </w:tblPr>
      <w:tblGrid>
        <w:gridCol w:w="3527"/>
        <w:gridCol w:w="2043"/>
        <w:gridCol w:w="1867"/>
        <w:gridCol w:w="1996"/>
      </w:tblGrid>
      <w:tr>
        <w:tblPrEx>
          <w:tblCellMar>
            <w:top w:w="0" w:type="dxa"/>
            <w:left w:w="0" w:type="dxa"/>
            <w:bottom w:w="0" w:type="dxa"/>
            <w:right w:w="0" w:type="dxa"/>
          </w:tblCellMar>
        </w:tblPrEx>
        <w:trPr>
          <w:trHeight w:val="518" w:hRule="atLeast"/>
          <w:jc w:val="center"/>
        </w:trPr>
        <w:tc>
          <w:tcPr>
            <w:tcW w:w="9433" w:type="dxa"/>
            <w:gridSpan w:val="4"/>
            <w:tcBorders>
              <w:top w:val="single" w:color="auto" w:sz="4" w:space="0"/>
              <w:left w:val="single" w:color="auto" w:sz="4" w:space="0"/>
              <w:bottom w:val="single" w:color="auto" w:sz="4" w:space="0"/>
              <w:right w:val="single" w:color="auto" w:sz="4" w:space="0"/>
            </w:tcBorders>
            <w:shd w:val="clear" w:color="auto" w:fill="C3DCF4"/>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b/>
                <w:bCs/>
                <w:color w:val="000000"/>
                <w:kern w:val="0"/>
                <w:sz w:val="18"/>
                <w:szCs w:val="18"/>
                <w:lang w:val="en-US" w:eastAsia="zh-CN"/>
              </w:rPr>
              <w:t>第二十条  第（一）项</w:t>
            </w:r>
          </w:p>
        </w:tc>
      </w:tr>
      <w:tr>
        <w:tblPrEx>
          <w:tblCellMar>
            <w:top w:w="0" w:type="dxa"/>
            <w:left w:w="0" w:type="dxa"/>
            <w:bottom w:w="0" w:type="dxa"/>
            <w:right w:w="0" w:type="dxa"/>
          </w:tblCellMar>
        </w:tblPrEx>
        <w:trPr>
          <w:trHeight w:val="746"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信息内容</w:t>
            </w:r>
          </w:p>
        </w:tc>
        <w:tc>
          <w:tcPr>
            <w:tcW w:w="20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本年</w:t>
            </w:r>
            <w:r>
              <w:rPr>
                <w:rFonts w:hint="default" w:ascii="Calibri" w:hAnsi="Calibri" w:eastAsia="宋体" w:cs="宋体"/>
                <w:kern w:val="0"/>
                <w:sz w:val="18"/>
                <w:szCs w:val="18"/>
                <w:lang w:val="en-US" w:eastAsia="zh-CN"/>
              </w:rPr>
              <w:t>制</w:t>
            </w:r>
            <w:r>
              <w:rPr>
                <w:rFonts w:hint="eastAsia" w:ascii="Calibri" w:hAnsi="Calibri" w:eastAsia="宋体" w:cs="宋体"/>
                <w:kern w:val="0"/>
                <w:sz w:val="18"/>
                <w:szCs w:val="18"/>
                <w:lang w:val="en-US" w:eastAsia="zh-CN"/>
              </w:rPr>
              <w:t>发件数</w:t>
            </w:r>
          </w:p>
        </w:tc>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本年废止件数</w:t>
            </w:r>
          </w:p>
        </w:tc>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现行有效件数</w:t>
            </w:r>
          </w:p>
        </w:tc>
      </w:tr>
      <w:tr>
        <w:tblPrEx>
          <w:tblCellMar>
            <w:top w:w="0" w:type="dxa"/>
            <w:left w:w="0" w:type="dxa"/>
            <w:bottom w:w="0" w:type="dxa"/>
            <w:right w:w="0" w:type="dxa"/>
          </w:tblCellMar>
        </w:tblPrEx>
        <w:trPr>
          <w:trHeight w:val="546"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规章</w:t>
            </w:r>
          </w:p>
        </w:tc>
        <w:tc>
          <w:tcPr>
            <w:tcW w:w="20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宋体"/>
                <w:sz w:val="18"/>
                <w:szCs w:val="18"/>
                <w:lang w:val="en-US" w:eastAsia="zh-CN"/>
              </w:rPr>
            </w:pPr>
            <w:r>
              <w:rPr>
                <w:rFonts w:hint="eastAsia"/>
                <w:sz w:val="18"/>
                <w:szCs w:val="18"/>
                <w:lang w:val="en-US" w:eastAsia="zh-CN"/>
              </w:rPr>
              <w:t>0</w:t>
            </w:r>
          </w:p>
        </w:tc>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宋体"/>
                <w:sz w:val="18"/>
                <w:szCs w:val="18"/>
                <w:lang w:val="en-US" w:eastAsia="zh-CN"/>
              </w:rPr>
            </w:pPr>
            <w:r>
              <w:rPr>
                <w:rFonts w:hint="eastAsia"/>
                <w:sz w:val="18"/>
                <w:szCs w:val="18"/>
                <w:lang w:val="en-US" w:eastAsia="zh-CN"/>
              </w:rPr>
              <w:t>0</w:t>
            </w:r>
          </w:p>
        </w:tc>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宋体"/>
                <w:sz w:val="18"/>
                <w:szCs w:val="18"/>
                <w:lang w:val="en-US" w:eastAsia="zh-CN"/>
              </w:rPr>
            </w:pPr>
            <w:r>
              <w:rPr>
                <w:rFonts w:hint="eastAsia"/>
                <w:sz w:val="18"/>
                <w:szCs w:val="18"/>
                <w:lang w:val="en-US" w:eastAsia="zh-CN"/>
              </w:rPr>
              <w:t>0</w:t>
            </w:r>
          </w:p>
        </w:tc>
      </w:tr>
      <w:tr>
        <w:tblPrEx>
          <w:tblCellMar>
            <w:top w:w="0" w:type="dxa"/>
            <w:left w:w="0" w:type="dxa"/>
            <w:bottom w:w="0" w:type="dxa"/>
            <w:right w:w="0" w:type="dxa"/>
          </w:tblCellMar>
        </w:tblPrEx>
        <w:trPr>
          <w:trHeight w:val="515"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行政规范性文件</w:t>
            </w:r>
          </w:p>
        </w:tc>
        <w:tc>
          <w:tcPr>
            <w:tcW w:w="20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宋体"/>
                <w:sz w:val="18"/>
                <w:szCs w:val="18"/>
                <w:lang w:val="en-US" w:eastAsia="zh-CN"/>
              </w:rPr>
            </w:pPr>
            <w:r>
              <w:rPr>
                <w:rFonts w:hint="eastAsia"/>
                <w:sz w:val="18"/>
                <w:szCs w:val="18"/>
                <w:lang w:val="en-US" w:eastAsia="zh-CN"/>
              </w:rPr>
              <w:t>6</w:t>
            </w:r>
          </w:p>
        </w:tc>
        <w:tc>
          <w:tcPr>
            <w:tcW w:w="18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宋体"/>
                <w:sz w:val="18"/>
                <w:szCs w:val="18"/>
                <w:lang w:val="en-US" w:eastAsia="zh-CN"/>
              </w:rPr>
            </w:pPr>
            <w:r>
              <w:rPr>
                <w:rFonts w:hint="eastAsia"/>
                <w:sz w:val="18"/>
                <w:szCs w:val="18"/>
                <w:lang w:val="en-US" w:eastAsia="zh-CN"/>
              </w:rPr>
              <w:t>5</w:t>
            </w:r>
          </w:p>
        </w:tc>
        <w:tc>
          <w:tcPr>
            <w:tcW w:w="199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eastAsia="宋体"/>
                <w:sz w:val="18"/>
                <w:szCs w:val="18"/>
                <w:lang w:val="en-US" w:eastAsia="zh-CN"/>
              </w:rPr>
            </w:pPr>
            <w:r>
              <w:rPr>
                <w:rFonts w:hint="eastAsia"/>
                <w:sz w:val="18"/>
                <w:szCs w:val="18"/>
                <w:lang w:val="en-US" w:eastAsia="zh-CN"/>
              </w:rPr>
              <w:t>20</w:t>
            </w:r>
          </w:p>
        </w:tc>
      </w:tr>
      <w:tr>
        <w:tblPrEx>
          <w:tblCellMar>
            <w:top w:w="0" w:type="dxa"/>
            <w:left w:w="0" w:type="dxa"/>
            <w:bottom w:w="0" w:type="dxa"/>
            <w:right w:w="0" w:type="dxa"/>
          </w:tblCellMar>
        </w:tblPrEx>
        <w:trPr>
          <w:trHeight w:val="515" w:hRule="atLeast"/>
          <w:jc w:val="center"/>
        </w:trPr>
        <w:tc>
          <w:tcPr>
            <w:tcW w:w="9433" w:type="dxa"/>
            <w:gridSpan w:val="4"/>
            <w:tcBorders>
              <w:top w:val="single" w:color="auto" w:sz="4" w:space="0"/>
              <w:left w:val="single" w:color="auto" w:sz="4" w:space="0"/>
              <w:bottom w:val="single" w:color="auto" w:sz="4" w:space="0"/>
              <w:right w:val="single" w:color="auto" w:sz="4" w:space="0"/>
            </w:tcBorders>
            <w:shd w:val="clear" w:color="auto" w:fill="C3DCF4"/>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b/>
                <w:bCs/>
                <w:color w:val="000000"/>
                <w:kern w:val="0"/>
                <w:sz w:val="18"/>
                <w:szCs w:val="18"/>
                <w:lang w:val="en-US" w:eastAsia="zh-CN"/>
              </w:rPr>
              <w:t>第二十条  第（五）项</w:t>
            </w:r>
          </w:p>
        </w:tc>
      </w:tr>
      <w:tr>
        <w:tblPrEx>
          <w:tblCellMar>
            <w:top w:w="0" w:type="dxa"/>
            <w:left w:w="0" w:type="dxa"/>
            <w:bottom w:w="0" w:type="dxa"/>
            <w:right w:w="0" w:type="dxa"/>
          </w:tblCellMar>
        </w:tblPrEx>
        <w:trPr>
          <w:trHeight w:val="657"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信息内容</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本年处理决定数量</w:t>
            </w:r>
          </w:p>
        </w:tc>
      </w:tr>
      <w:tr>
        <w:tblPrEx>
          <w:tblCellMar>
            <w:top w:w="0" w:type="dxa"/>
            <w:left w:w="0" w:type="dxa"/>
            <w:bottom w:w="0" w:type="dxa"/>
            <w:right w:w="0" w:type="dxa"/>
          </w:tblCellMar>
        </w:tblPrEx>
        <w:trPr>
          <w:trHeight w:val="551"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行政许可</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eastAsia="宋体"/>
                <w:sz w:val="18"/>
                <w:szCs w:val="18"/>
                <w:lang w:val="en-US" w:eastAsia="zh-CN"/>
              </w:rPr>
            </w:pPr>
            <w:r>
              <w:rPr>
                <w:rFonts w:hint="eastAsia"/>
                <w:sz w:val="18"/>
                <w:szCs w:val="18"/>
                <w:lang w:val="en-US" w:eastAsia="zh-CN"/>
              </w:rPr>
              <w:t>57678</w:t>
            </w:r>
          </w:p>
        </w:tc>
      </w:tr>
      <w:tr>
        <w:tblPrEx>
          <w:tblCellMar>
            <w:top w:w="0" w:type="dxa"/>
            <w:left w:w="0" w:type="dxa"/>
            <w:bottom w:w="0" w:type="dxa"/>
            <w:right w:w="0" w:type="dxa"/>
          </w:tblCellMar>
        </w:tblPrEx>
        <w:trPr>
          <w:trHeight w:val="515" w:hRule="atLeast"/>
          <w:jc w:val="center"/>
        </w:trPr>
        <w:tc>
          <w:tcPr>
            <w:tcW w:w="9433" w:type="dxa"/>
            <w:gridSpan w:val="4"/>
            <w:tcBorders>
              <w:top w:val="single" w:color="auto" w:sz="4" w:space="0"/>
              <w:left w:val="single" w:color="auto" w:sz="4" w:space="0"/>
              <w:bottom w:val="single" w:color="auto" w:sz="4" w:space="0"/>
              <w:right w:val="single" w:color="auto" w:sz="4" w:space="0"/>
            </w:tcBorders>
            <w:shd w:val="clear" w:color="auto" w:fill="C3DCF4"/>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b/>
                <w:bCs/>
                <w:color w:val="000000"/>
                <w:kern w:val="0"/>
                <w:sz w:val="18"/>
                <w:szCs w:val="18"/>
                <w:lang w:val="en-US" w:eastAsia="zh-CN"/>
              </w:rPr>
              <w:t>第二十条  第（六）项</w:t>
            </w:r>
          </w:p>
        </w:tc>
      </w:tr>
      <w:tr>
        <w:tblPrEx>
          <w:tblCellMar>
            <w:top w:w="0" w:type="dxa"/>
            <w:left w:w="0" w:type="dxa"/>
            <w:bottom w:w="0" w:type="dxa"/>
            <w:right w:w="0" w:type="dxa"/>
          </w:tblCellMar>
        </w:tblPrEx>
        <w:trPr>
          <w:trHeight w:val="657"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信息内容</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本年处理决定数量</w:t>
            </w:r>
          </w:p>
        </w:tc>
      </w:tr>
      <w:tr>
        <w:tblPrEx>
          <w:tblCellMar>
            <w:top w:w="0" w:type="dxa"/>
            <w:left w:w="0" w:type="dxa"/>
            <w:bottom w:w="0" w:type="dxa"/>
            <w:right w:w="0" w:type="dxa"/>
          </w:tblCellMar>
        </w:tblPrEx>
        <w:trPr>
          <w:trHeight w:val="515"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行政处罚</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eastAsia="宋体"/>
                <w:sz w:val="18"/>
                <w:szCs w:val="18"/>
                <w:lang w:val="en-US" w:eastAsia="zh-CN"/>
              </w:rPr>
            </w:pPr>
            <w:r>
              <w:rPr>
                <w:rFonts w:hint="eastAsia"/>
                <w:sz w:val="18"/>
                <w:szCs w:val="18"/>
                <w:lang w:val="en-US" w:eastAsia="zh-CN"/>
              </w:rPr>
              <w:t>8109</w:t>
            </w:r>
          </w:p>
        </w:tc>
      </w:tr>
      <w:tr>
        <w:tblPrEx>
          <w:tblCellMar>
            <w:top w:w="0" w:type="dxa"/>
            <w:left w:w="0" w:type="dxa"/>
            <w:bottom w:w="0" w:type="dxa"/>
            <w:right w:w="0" w:type="dxa"/>
          </w:tblCellMar>
        </w:tblPrEx>
        <w:trPr>
          <w:trHeight w:val="515"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行政强制</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eastAsia="宋体"/>
                <w:sz w:val="18"/>
                <w:szCs w:val="18"/>
                <w:lang w:val="en-US" w:eastAsia="zh-CN"/>
              </w:rPr>
            </w:pPr>
            <w:r>
              <w:rPr>
                <w:rFonts w:hint="eastAsia"/>
                <w:sz w:val="18"/>
                <w:szCs w:val="18"/>
                <w:lang w:val="en-US" w:eastAsia="zh-CN"/>
              </w:rPr>
              <w:t>5227</w:t>
            </w:r>
          </w:p>
        </w:tc>
      </w:tr>
      <w:tr>
        <w:tblPrEx>
          <w:tblCellMar>
            <w:top w:w="0" w:type="dxa"/>
            <w:left w:w="0" w:type="dxa"/>
            <w:bottom w:w="0" w:type="dxa"/>
            <w:right w:w="0" w:type="dxa"/>
          </w:tblCellMar>
        </w:tblPrEx>
        <w:trPr>
          <w:trHeight w:val="515" w:hRule="atLeast"/>
          <w:jc w:val="center"/>
        </w:trPr>
        <w:tc>
          <w:tcPr>
            <w:tcW w:w="9433" w:type="dxa"/>
            <w:gridSpan w:val="4"/>
            <w:tcBorders>
              <w:top w:val="single" w:color="auto" w:sz="4" w:space="0"/>
              <w:left w:val="single" w:color="auto" w:sz="4" w:space="0"/>
              <w:bottom w:val="single" w:color="auto" w:sz="4" w:space="0"/>
              <w:right w:val="single" w:color="auto" w:sz="4" w:space="0"/>
            </w:tcBorders>
            <w:shd w:val="clear" w:color="auto" w:fill="C3DCF4"/>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b/>
                <w:bCs/>
                <w:color w:val="000000"/>
                <w:kern w:val="0"/>
                <w:sz w:val="18"/>
                <w:szCs w:val="18"/>
                <w:lang w:val="en-US" w:eastAsia="zh-CN"/>
              </w:rPr>
              <w:t>第二十条  第（八）项</w:t>
            </w:r>
          </w:p>
        </w:tc>
      </w:tr>
      <w:tr>
        <w:tblPrEx>
          <w:tblCellMar>
            <w:top w:w="0" w:type="dxa"/>
            <w:left w:w="0" w:type="dxa"/>
            <w:bottom w:w="0" w:type="dxa"/>
            <w:right w:w="0" w:type="dxa"/>
          </w:tblCellMar>
        </w:tblPrEx>
        <w:trPr>
          <w:trHeight w:val="515"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color w:val="000000"/>
                <w:kern w:val="0"/>
                <w:sz w:val="18"/>
                <w:szCs w:val="18"/>
                <w:lang w:val="en-US" w:eastAsia="zh-CN"/>
              </w:rPr>
              <w:t>信息内容</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eastAsia" w:eastAsia="Times New Roman"/>
                <w:sz w:val="18"/>
                <w:szCs w:val="18"/>
                <w:lang w:eastAsia="zh-CN"/>
              </w:rPr>
            </w:pPr>
            <w:r>
              <w:rPr>
                <w:rFonts w:hint="eastAsia"/>
                <w:sz w:val="18"/>
                <w:szCs w:val="18"/>
                <w:lang w:eastAsia="zh-CN"/>
              </w:rPr>
              <w:t>本年收费金额（单位：万元）</w:t>
            </w:r>
          </w:p>
        </w:tc>
      </w:tr>
      <w:tr>
        <w:tblPrEx>
          <w:tblCellMar>
            <w:top w:w="0" w:type="dxa"/>
            <w:left w:w="0" w:type="dxa"/>
            <w:bottom w:w="0" w:type="dxa"/>
            <w:right w:w="0" w:type="dxa"/>
          </w:tblCellMar>
        </w:tblPrEx>
        <w:trPr>
          <w:trHeight w:val="574" w:hRule="atLeast"/>
          <w:jc w:val="center"/>
        </w:trPr>
        <w:tc>
          <w:tcPr>
            <w:tcW w:w="35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sz w:val="18"/>
                <w:szCs w:val="18"/>
              </w:rPr>
            </w:pPr>
            <w:r>
              <w:rPr>
                <w:rFonts w:hint="eastAsia" w:ascii="宋体" w:hAnsi="宋体" w:eastAsia="宋体" w:cs="宋体"/>
                <w:color w:val="000000"/>
                <w:kern w:val="0"/>
                <w:sz w:val="18"/>
                <w:szCs w:val="18"/>
                <w:lang w:val="en-US" w:eastAsia="zh-CN"/>
              </w:rPr>
              <w:t>行政事业性收费</w:t>
            </w:r>
          </w:p>
        </w:tc>
        <w:tc>
          <w:tcPr>
            <w:tcW w:w="5906"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eastAsia="宋体"/>
                <w:sz w:val="18"/>
                <w:szCs w:val="18"/>
                <w:lang w:val="en-US" w:eastAsia="zh-CN"/>
              </w:rPr>
            </w:pPr>
            <w:r>
              <w:rPr>
                <w:rFonts w:hint="eastAsia"/>
                <w:sz w:val="18"/>
                <w:szCs w:val="18"/>
                <w:lang w:val="en-US" w:eastAsia="zh-CN"/>
              </w:rPr>
              <w:t>5115.5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6" w:beforeLines="100" w:after="159" w:afterLines="50"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33"/>
        <w:gridCol w:w="1471"/>
        <w:gridCol w:w="2823"/>
        <w:gridCol w:w="578"/>
        <w:gridCol w:w="591"/>
        <w:gridCol w:w="638"/>
        <w:gridCol w:w="862"/>
        <w:gridCol w:w="791"/>
        <w:gridCol w:w="626"/>
        <w:gridCol w:w="6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27" w:type="dxa"/>
            <w:gridSpan w:val="3"/>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40" w:lineRule="auto"/>
              <w:ind w:left="0" w:right="0"/>
              <w:jc w:val="center"/>
              <w:textAlignment w:val="auto"/>
              <w:outlineLvl w:val="9"/>
              <w:rPr>
                <w:rFonts w:hint="default"/>
                <w:sz w:val="18"/>
                <w:szCs w:val="18"/>
              </w:rPr>
            </w:pPr>
            <w:r>
              <w:rPr>
                <w:rFonts w:hint="eastAsia" w:ascii="楷体" w:hAnsi="楷体" w:eastAsia="楷体" w:cs="楷体"/>
                <w:kern w:val="0"/>
                <w:sz w:val="18"/>
                <w:szCs w:val="18"/>
                <w:lang w:val="en-US" w:eastAsia="zh-CN"/>
              </w:rPr>
              <w:t>（本列数据的勾稽关系为：第一项加第二项之和，等于第三项加第四项之和）</w:t>
            </w:r>
          </w:p>
        </w:tc>
        <w:tc>
          <w:tcPr>
            <w:tcW w:w="4690" w:type="dxa"/>
            <w:gridSpan w:val="7"/>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b/>
                <w:bCs/>
                <w:sz w:val="18"/>
                <w:szCs w:val="18"/>
              </w:rPr>
            </w:pPr>
            <w:r>
              <w:rPr>
                <w:rFonts w:hint="eastAsia"/>
                <w:b/>
                <w:bCs/>
                <w:sz w:val="18"/>
                <w:szCs w:val="18"/>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27"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57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自然人</w:t>
            </w:r>
          </w:p>
        </w:tc>
        <w:tc>
          <w:tcPr>
            <w:tcW w:w="3508"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法人或其他组织</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4827"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57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eastAsia"/>
                <w:b/>
                <w:bCs/>
                <w:sz w:val="18"/>
                <w:szCs w:val="18"/>
              </w:rPr>
            </w:pP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商业企业</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科研机构</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社会公益组织</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法律服务机构</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default"/>
                <w:b/>
                <w:bCs/>
                <w:sz w:val="18"/>
                <w:szCs w:val="18"/>
              </w:rPr>
            </w:pPr>
            <w:r>
              <w:rPr>
                <w:rFonts w:hint="eastAsia"/>
                <w:b/>
                <w:bCs/>
                <w:sz w:val="18"/>
                <w:szCs w:val="18"/>
                <w:lang w:val="en-US" w:eastAsia="zh-CN"/>
              </w:rPr>
              <w:t>其他</w:t>
            </w: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outlineLvl w:val="9"/>
              <w:rPr>
                <w:rFonts w:hint="eastAsia"/>
                <w:b/>
                <w:bCs/>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4827"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lang w:val="en-US" w:eastAsia="zh-CN"/>
              </w:rPr>
              <w:t>一、本年新收政府信息公开申请数量</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4827"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b/>
                <w:bCs/>
                <w:sz w:val="18"/>
                <w:szCs w:val="18"/>
              </w:rPr>
            </w:pPr>
            <w:r>
              <w:rPr>
                <w:rFonts w:hint="eastAsia"/>
                <w:b/>
                <w:bCs/>
                <w:sz w:val="18"/>
                <w:szCs w:val="18"/>
                <w:lang w:val="en-US" w:eastAsia="zh-CN"/>
              </w:rPr>
              <w:t>二、上年结转政府信息公开申请数量</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sz w:val="18"/>
                <w:szCs w:val="18"/>
              </w:rPr>
            </w:pPr>
            <w:r>
              <w:rPr>
                <w:rFonts w:hint="eastAsia" w:ascii="宋体" w:hAnsi="宋体" w:eastAsia="宋体" w:cs="宋体"/>
                <w:b/>
                <w:bCs/>
                <w:kern w:val="0"/>
                <w:sz w:val="18"/>
                <w:szCs w:val="18"/>
                <w:lang w:val="en-US" w:eastAsia="zh-CN"/>
              </w:rPr>
              <w:t>三、本年度办理结果</w:t>
            </w:r>
          </w:p>
        </w:tc>
        <w:tc>
          <w:tcPr>
            <w:tcW w:w="42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default"/>
                <w:sz w:val="18"/>
                <w:szCs w:val="18"/>
              </w:rPr>
            </w:pPr>
            <w:r>
              <w:rPr>
                <w:rFonts w:hint="eastAsia"/>
                <w:b/>
                <w:bCs/>
                <w:sz w:val="18"/>
                <w:szCs w:val="18"/>
                <w:lang w:val="en-US" w:eastAsia="zh-CN"/>
              </w:rPr>
              <w:t>（一）予以公开</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42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outlineLvl w:val="9"/>
              <w:rPr>
                <w:rFonts w:hint="default"/>
                <w:sz w:val="18"/>
                <w:szCs w:val="18"/>
              </w:rPr>
            </w:pPr>
            <w:r>
              <w:rPr>
                <w:rFonts w:hint="eastAsia"/>
                <w:b/>
                <w:bCs/>
                <w:sz w:val="18"/>
                <w:szCs w:val="18"/>
                <w:lang w:val="en-US" w:eastAsia="zh-CN"/>
              </w:rPr>
              <w:t>（二）部分公开</w:t>
            </w:r>
            <w:r>
              <w:rPr>
                <w:rFonts w:hint="eastAsia" w:ascii="楷体" w:hAnsi="楷体" w:eastAsia="楷体" w:cs="楷体"/>
                <w:sz w:val="18"/>
                <w:szCs w:val="18"/>
                <w:lang w:val="en-US" w:eastAsia="zh-CN"/>
              </w:rPr>
              <w:t>（区分处理的，只计这一情形，不计其他情形）</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b/>
                <w:bCs/>
                <w:sz w:val="18"/>
                <w:szCs w:val="18"/>
                <w:lang w:val="en-US" w:eastAsia="zh-CN"/>
              </w:rPr>
              <w:t>（三）不予公开</w:t>
            </w: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1.属于国家秘密</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2.其他法律行政法规禁止公开</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3.危及“三安全一稳定”</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4.保护第三方合法权益</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5.属于三类内部事务信息</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6.属于四类过程性信息</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7.属于行政执法案卷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8.属于行政查询事项</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b/>
                <w:bCs/>
                <w:sz w:val="18"/>
                <w:szCs w:val="18"/>
                <w:lang w:val="en-US" w:eastAsia="zh-CN"/>
              </w:rPr>
              <w:t>（四）无法提供</w:t>
            </w: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1.本机关不掌握相关政府信息</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2.没有现成信息需要另行制作</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3.补正后申请内容仍不明确</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b/>
                <w:bCs/>
                <w:sz w:val="18"/>
                <w:szCs w:val="18"/>
              </w:rPr>
            </w:pPr>
            <w:r>
              <w:rPr>
                <w:rFonts w:hint="eastAsia" w:ascii="宋体" w:hAnsi="宋体" w:eastAsia="宋体" w:cs="宋体"/>
                <w:b/>
                <w:bCs/>
                <w:sz w:val="18"/>
                <w:szCs w:val="18"/>
                <w:lang w:val="en-US" w:eastAsia="zh-CN"/>
              </w:rPr>
              <w:t>（五）不予处理</w:t>
            </w: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1.信访举报投诉类申请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bCs/>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2.重复申请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bCs/>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3.要求提供公开出版物</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bCs/>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lang w:val="en-US" w:eastAsia="zh-CN"/>
              </w:rPr>
              <w:t>4.无正当理由大量反复申请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2"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b/>
                <w:bCs/>
                <w:sz w:val="18"/>
                <w:szCs w:val="18"/>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宋体" w:hAnsi="宋体" w:eastAsia="宋体" w:cs="宋体"/>
                <w:sz w:val="18"/>
                <w:szCs w:val="18"/>
              </w:rPr>
            </w:pPr>
            <w:r>
              <w:rPr>
                <w:rFonts w:hint="eastAsia" w:ascii="宋体" w:hAnsi="宋体" w:eastAsia="宋体" w:cs="宋体"/>
                <w:sz w:val="18"/>
                <w:szCs w:val="18"/>
                <w:lang w:val="en-US" w:eastAsia="zh-CN"/>
              </w:rPr>
              <w:t>5.要求行政机关确认或重新出具已获取信息</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8"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（六）其他处理</w:t>
            </w: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1.申请人无正当理由逾期不补正、行政机关不再处理其政府信息公开申请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3" w:hRule="atLeas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lang w:val="en-US" w:eastAsia="zh-CN"/>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2.申请人逾期未按收费通知要求缴纳费用、行政机关不再处理其政府信息公开申请</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sz w:val="18"/>
                <w:szCs w:val="18"/>
              </w:rPr>
            </w:pPr>
          </w:p>
        </w:tc>
        <w:tc>
          <w:tcPr>
            <w:tcW w:w="1471"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lang w:val="en-US" w:eastAsia="zh-CN"/>
              </w:rPr>
            </w:pPr>
          </w:p>
        </w:tc>
        <w:tc>
          <w:tcPr>
            <w:tcW w:w="282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3.其他</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53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4294"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（七）总计</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exact"/>
          <w:jc w:val="center"/>
        </w:trPr>
        <w:tc>
          <w:tcPr>
            <w:tcW w:w="4827"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left"/>
              <w:textAlignment w:val="auto"/>
              <w:outlineLvl w:val="9"/>
              <w:rPr>
                <w:rFonts w:hint="default"/>
                <w:b/>
                <w:bCs/>
                <w:sz w:val="18"/>
                <w:szCs w:val="18"/>
              </w:rPr>
            </w:pPr>
            <w:r>
              <w:rPr>
                <w:rFonts w:hint="eastAsia" w:ascii="宋体" w:hAnsi="宋体" w:eastAsia="宋体" w:cs="宋体"/>
                <w:b/>
                <w:bCs/>
                <w:kern w:val="0"/>
                <w:sz w:val="18"/>
                <w:szCs w:val="18"/>
                <w:lang w:val="en-US" w:eastAsia="zh-CN"/>
              </w:rPr>
              <w:t>四、结转下年度继续办理</w:t>
            </w:r>
          </w:p>
        </w:tc>
        <w:tc>
          <w:tcPr>
            <w:tcW w:w="57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6" w:beforeLines="100" w:after="159" w:afterLines="50" w:line="56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6"/>
        <w:tblW w:w="960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5"/>
        <w:gridCol w:w="638"/>
        <w:gridCol w:w="744"/>
        <w:gridCol w:w="685"/>
        <w:gridCol w:w="673"/>
        <w:gridCol w:w="602"/>
        <w:gridCol w:w="626"/>
        <w:gridCol w:w="591"/>
        <w:gridCol w:w="614"/>
        <w:gridCol w:w="626"/>
        <w:gridCol w:w="650"/>
        <w:gridCol w:w="672"/>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5"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行政复议</w:t>
            </w:r>
          </w:p>
        </w:tc>
        <w:tc>
          <w:tcPr>
            <w:tcW w:w="6198" w:type="dxa"/>
            <w:gridSpan w:val="10"/>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5"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结果维持</w:t>
            </w:r>
          </w:p>
        </w:tc>
        <w:tc>
          <w:tcPr>
            <w:tcW w:w="63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结果纠正</w:t>
            </w:r>
          </w:p>
        </w:tc>
        <w:tc>
          <w:tcPr>
            <w:tcW w:w="74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其他结果</w:t>
            </w:r>
          </w:p>
        </w:tc>
        <w:tc>
          <w:tcPr>
            <w:tcW w:w="685"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尚未审结</w:t>
            </w:r>
          </w:p>
        </w:tc>
        <w:tc>
          <w:tcPr>
            <w:tcW w:w="673"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总计</w:t>
            </w:r>
          </w:p>
        </w:tc>
        <w:tc>
          <w:tcPr>
            <w:tcW w:w="3059"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未经复议直接起诉</w:t>
            </w:r>
          </w:p>
        </w:tc>
        <w:tc>
          <w:tcPr>
            <w:tcW w:w="3139"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1" w:hRule="atLeast"/>
          <w:jc w:val="center"/>
        </w:trPr>
        <w:tc>
          <w:tcPr>
            <w:tcW w:w="66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74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68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67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outlineLvl w:val="9"/>
              <w:rPr>
                <w:rFonts w:hint="eastAsia" w:ascii="宋体"/>
                <w:b/>
                <w:bCs/>
                <w:sz w:val="18"/>
                <w:szCs w:val="18"/>
              </w:rPr>
            </w:pPr>
          </w:p>
        </w:tc>
        <w:tc>
          <w:tcPr>
            <w:tcW w:w="60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结果维持</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结果纠正</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其他结果</w:t>
            </w:r>
          </w:p>
        </w:tc>
        <w:tc>
          <w:tcPr>
            <w:tcW w:w="6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尚未审结</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color w:val="000000"/>
                <w:kern w:val="0"/>
                <w:sz w:val="18"/>
                <w:szCs w:val="18"/>
                <w:lang w:val="en-US" w:eastAsia="zh-CN"/>
              </w:rPr>
              <w:t>总计</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结果维持</w:t>
            </w:r>
          </w:p>
        </w:tc>
        <w:tc>
          <w:tcPr>
            <w:tcW w:w="6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结果纠正</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color w:val="000000"/>
                <w:kern w:val="0"/>
                <w:sz w:val="18"/>
                <w:szCs w:val="18"/>
                <w:lang w:val="en-US" w:eastAsia="zh-CN"/>
              </w:rPr>
              <w:t>其他结果</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kern w:val="0"/>
                <w:sz w:val="18"/>
                <w:szCs w:val="18"/>
                <w:lang w:val="en-US" w:eastAsia="zh-CN"/>
              </w:rPr>
              <w:t>尚未审结</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80" w:lineRule="exact"/>
              <w:ind w:left="0" w:right="0"/>
              <w:jc w:val="center"/>
              <w:textAlignment w:val="auto"/>
              <w:outlineLvl w:val="9"/>
              <w:rPr>
                <w:rFonts w:hint="default"/>
                <w:b/>
                <w:bCs/>
                <w:sz w:val="18"/>
                <w:szCs w:val="18"/>
              </w:rPr>
            </w:pPr>
            <w:r>
              <w:rPr>
                <w:rFonts w:hint="eastAsia" w:ascii="宋体" w:hAnsi="宋体" w:eastAsia="宋体" w:cs="宋体"/>
                <w:b/>
                <w:bCs/>
                <w:color w:val="000000"/>
                <w:kern w:val="0"/>
                <w:sz w:val="18"/>
                <w:szCs w:val="18"/>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66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p>
        </w:tc>
        <w:tc>
          <w:tcPr>
            <w:tcW w:w="63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w:t>
            </w:r>
          </w:p>
        </w:tc>
        <w:tc>
          <w:tcPr>
            <w:tcW w:w="7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7</w:t>
            </w:r>
          </w:p>
        </w:tc>
        <w:tc>
          <w:tcPr>
            <w:tcW w:w="60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5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7</w:t>
            </w:r>
          </w:p>
        </w:tc>
        <w:tc>
          <w:tcPr>
            <w:tcW w:w="6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2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7</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7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kern w:val="2"/>
                <w:sz w:val="18"/>
                <w:szCs w:val="18"/>
                <w:lang w:val="en-US" w:eastAsia="zh-CN" w:bidi="ar-SA"/>
              </w:rPr>
            </w:pPr>
            <w:r>
              <w:rPr>
                <w:rFonts w:hint="eastAsia" w:ascii="宋体" w:hAnsi="宋体" w:cs="宋体"/>
                <w:sz w:val="18"/>
                <w:szCs w:val="18"/>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0</w:t>
            </w:r>
          </w:p>
        </w:tc>
      </w:tr>
    </w:tbl>
    <w:p>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620" w:firstLineChars="200"/>
        <w:jc w:val="both"/>
        <w:textAlignment w:val="auto"/>
        <w:rPr>
          <w:rFonts w:hint="eastAsia" w:ascii="黑体" w:hAnsi="宋体" w:eastAsia="黑体" w:cs="黑体"/>
          <w:color w:val="000000"/>
          <w:kern w:val="0"/>
          <w:sz w:val="31"/>
          <w:szCs w:val="31"/>
          <w:lang w:val="en-US" w:eastAsia="zh-CN" w:bidi="ar"/>
        </w:rPr>
      </w:pPr>
    </w:p>
    <w:p>
      <w:pPr>
        <w:pStyle w:val="5"/>
        <w:keepNext w:val="0"/>
        <w:keepLines w:val="0"/>
        <w:pageBreakBefore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（一）存在问题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0"/>
          <w:sz w:val="32"/>
          <w:szCs w:val="32"/>
          <w:lang w:val="en-US" w:eastAsia="zh-CN" w:bidi="ar"/>
        </w:rPr>
        <w:t>一是已主动公开的政策文件查阅便利性有待提高。二是政策文件的解读需进一步提升，部分政策文件的解读浮于表面。三是依申请公开的答复精准性和服务方面需进一步强化。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（二）存在问题改进措施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一是新设“政策文件库”专栏，根据文件类型、体裁、主题、特色等进行多层次的分类。运用政策汇编专栏，集中发布惠企政策清单。优化智能搜索、推送搜索，上线智能机器人，提高政策查阅便捷性和高效性。</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是严把政策解读质量关，政策文件的解读符合政策背景、出台目的、重要举措等方面的要求，不同解读方式解读内容不能雷同，并积极运用新闻发布会音频视频、动画动漫、媒体解读等形式开展多方位解读，让群众对政策文件“看得见”“看得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三是进一步优化依申请公开办理流程，积极与申请人沟通，了解申请人诉求，压缩依申请公开办理时限，提高答复的及时性和针对性，切实做好依申请公开服务工作。</w:t>
      </w:r>
    </w:p>
    <w:p>
      <w:pPr>
        <w:pStyle w:val="5"/>
        <w:keepNext w:val="0"/>
        <w:keepLines w:val="0"/>
        <w:pageBreakBefore w:val="0"/>
        <w:kinsoku/>
        <w:wordWrap/>
        <w:overflowPunct/>
        <w:topLinePunct w:val="0"/>
        <w:autoSpaceDE/>
        <w:autoSpaceDN/>
        <w:bidi w:val="0"/>
        <w:adjustRightInd/>
        <w:snapToGrid/>
        <w:spacing w:line="560" w:lineRule="exact"/>
        <w:ind w:left="0" w:leftChars="0" w:firstLine="620" w:firstLineChars="200"/>
        <w:jc w:val="both"/>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六、其他需要报告的事项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（一）依据《政府信息公开信息处理费管理办法》收取信息处理费的情况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2022年度，沂南县没有因政府信息公开申请产生相关费用。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(二)本行政机关落实上级年度政务公开工作要点情况 </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根据《山东省人民政府办公厅关于印发2022年山东省政务公开工作要点的通知》（鲁政办发〔2022〕5号）和《临沂市人民政府办公室关于印发2022年临沂市政务公开工作要点的通知》（临政办函〔2022〕113号）文件</w:t>
      </w:r>
      <w:r>
        <w:rPr>
          <w:rFonts w:hint="eastAsia" w:hAnsi="仿宋_GB2312" w:cs="仿宋_GB2312"/>
          <w:color w:val="000000"/>
          <w:kern w:val="0"/>
          <w:sz w:val="32"/>
          <w:szCs w:val="32"/>
          <w:lang w:val="en-US" w:eastAsia="zh-CN" w:bidi="ar"/>
        </w:rPr>
        <w:t>要求</w:t>
      </w:r>
      <w:r>
        <w:rPr>
          <w:rFonts w:hint="eastAsia" w:ascii="仿宋_GB2312" w:hAnsi="仿宋_GB2312" w:eastAsia="仿宋_GB2312" w:cs="仿宋_GB2312"/>
          <w:color w:val="000000"/>
          <w:kern w:val="0"/>
          <w:sz w:val="32"/>
          <w:szCs w:val="32"/>
          <w:lang w:val="en-US" w:eastAsia="zh-CN" w:bidi="ar"/>
        </w:rPr>
        <w:t>，制定《2022年沂南县政务公开工作要点》，围绕重大建设项目、公共资源配置、重点民生等</w:t>
      </w:r>
      <w:r>
        <w:rPr>
          <w:rFonts w:hint="eastAsia" w:hAnsi="仿宋_GB2312" w:cs="仿宋_GB2312"/>
          <w:color w:val="000000"/>
          <w:kern w:val="0"/>
          <w:sz w:val="32"/>
          <w:szCs w:val="32"/>
          <w:lang w:val="en-US" w:eastAsia="zh-CN" w:bidi="ar"/>
        </w:rPr>
        <w:t>领域</w:t>
      </w:r>
      <w:r>
        <w:rPr>
          <w:rFonts w:hint="eastAsia" w:ascii="仿宋_GB2312" w:hAnsi="仿宋_GB2312" w:eastAsia="仿宋_GB2312" w:cs="仿宋_GB2312"/>
          <w:color w:val="000000"/>
          <w:kern w:val="0"/>
          <w:sz w:val="32"/>
          <w:szCs w:val="32"/>
          <w:lang w:val="en-US" w:eastAsia="zh-CN" w:bidi="ar"/>
        </w:rPr>
        <w:t>,扎实进行任务分解，明确时间节点，细化责任</w:t>
      </w:r>
      <w:r>
        <w:rPr>
          <w:rFonts w:hint="eastAsia" w:hAnsi="仿宋_GB2312" w:cs="仿宋_GB2312"/>
          <w:color w:val="000000"/>
          <w:kern w:val="0"/>
          <w:sz w:val="32"/>
          <w:szCs w:val="32"/>
          <w:lang w:val="en-US" w:eastAsia="zh-CN" w:bidi="ar"/>
        </w:rPr>
        <w:t>落实。同时，</w:t>
      </w:r>
      <w:r>
        <w:rPr>
          <w:rFonts w:hint="eastAsia" w:ascii="仿宋_GB2312" w:hAnsi="仿宋_GB2312" w:eastAsia="仿宋_GB2312" w:cs="仿宋_GB2312"/>
          <w:color w:val="000000"/>
          <w:kern w:val="0"/>
          <w:sz w:val="32"/>
          <w:szCs w:val="32"/>
          <w:lang w:val="en-US" w:eastAsia="zh-CN" w:bidi="ar"/>
        </w:rPr>
        <w:t>结合</w:t>
      </w:r>
      <w:r>
        <w:rPr>
          <w:rFonts w:hint="eastAsia" w:hAnsi="仿宋_GB2312" w:cs="仿宋_GB2312"/>
          <w:color w:val="000000"/>
          <w:kern w:val="0"/>
          <w:sz w:val="32"/>
          <w:szCs w:val="32"/>
          <w:lang w:val="en-US" w:eastAsia="zh-CN" w:bidi="ar"/>
        </w:rPr>
        <w:t>季度考核、年底考核</w:t>
      </w:r>
      <w:r>
        <w:rPr>
          <w:rFonts w:hint="eastAsia" w:ascii="仿宋_GB2312" w:hAnsi="仿宋_GB2312" w:eastAsia="仿宋_GB2312" w:cs="仿宋_GB2312"/>
          <w:color w:val="000000"/>
          <w:kern w:val="0"/>
          <w:sz w:val="32"/>
          <w:szCs w:val="32"/>
          <w:lang w:val="en-US" w:eastAsia="zh-CN" w:bidi="ar"/>
        </w:rPr>
        <w:t>等手段，对</w:t>
      </w:r>
      <w:r>
        <w:rPr>
          <w:rFonts w:hint="eastAsia" w:hAnsi="仿宋_GB2312" w:cs="仿宋_GB2312"/>
          <w:color w:val="000000"/>
          <w:kern w:val="0"/>
          <w:sz w:val="32"/>
          <w:szCs w:val="32"/>
          <w:lang w:val="en-US" w:eastAsia="zh-CN" w:bidi="ar"/>
        </w:rPr>
        <w:t>年度工作</w:t>
      </w:r>
      <w:r>
        <w:rPr>
          <w:rFonts w:hint="eastAsia" w:ascii="仿宋_GB2312" w:hAnsi="仿宋_GB2312" w:eastAsia="仿宋_GB2312" w:cs="仿宋_GB2312"/>
          <w:color w:val="000000"/>
          <w:kern w:val="0"/>
          <w:sz w:val="32"/>
          <w:szCs w:val="32"/>
          <w:lang w:val="en-US" w:eastAsia="zh-CN" w:bidi="ar"/>
        </w:rPr>
        <w:t>要点落实情况进行跟踪和推进。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一是深化政务公开基础工作。</w:t>
      </w:r>
      <w:r>
        <w:rPr>
          <w:rFonts w:hint="eastAsia" w:ascii="仿宋_GB2312" w:hAnsi="仿宋_GB2312" w:eastAsia="仿宋_GB2312" w:cs="仿宋_GB2312"/>
          <w:color w:val="000000"/>
          <w:kern w:val="0"/>
          <w:sz w:val="32"/>
          <w:szCs w:val="32"/>
          <w:lang w:val="en-US" w:eastAsia="zh-CN" w:bidi="ar"/>
        </w:rPr>
        <w:t>参2022年，在县政府网站设立“政策文件库”专栏，集中公开现行有效的行政规范性文件和其他文件，明确标题、正文、文号、成文日期、发布日期、有效性等，并在公开页面标有有效性标注。围绕群众、需求和关注热点，设立“疫情防控”“政策汇编”等特色主题分类。在依申请公开工作中强化服务理念，加强与申请人的沟通，准确了解申请人诉求，提高答复的及时性和针对性。推进基层政务公开标准化规范化，参考国务院有关部门印发的试点领域和其他领域标准指引，持续优化完善我县各领域基层政务公开标准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二是深化政策解读回应。</w:t>
      </w:r>
      <w:r>
        <w:rPr>
          <w:rFonts w:hint="eastAsia" w:ascii="仿宋_GB2312" w:hAnsi="仿宋_GB2312" w:eastAsia="仿宋_GB2312" w:cs="仿宋_GB2312"/>
          <w:color w:val="000000"/>
          <w:kern w:val="0"/>
          <w:sz w:val="32"/>
          <w:szCs w:val="32"/>
          <w:lang w:val="en-US" w:eastAsia="zh-CN" w:bidi="ar"/>
        </w:rPr>
        <w:t>规范解读程序，坚持政策文件与解读方案、解读材料同组织同审签同部署，报请县政府或政府办公室发文的，同步报送解读方案和解读材料，对缺项的原则上予以退文。创新解读方式，在做好文字解读的基础上，通过图文、音视频、新闻发布会、行风热线等多种形式去解读。不断提高政策咨询类留言的答复质量，公开内容包括留言时间、答复时间、答复单位和答复内容等。对反映集中的问题，及时更新到政策问答库，回应共性和普遍疑问。推进重大行政决策公众参与和全流程公开，发布2022年重大行政决策事项目录，以事项目录超链接方式归集展示6个决策事项的草案全文、草案说明、决策背景、公众意见建议收集和采纳情况、决策结果等信息。</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楷体" w:eastAsia="仿宋_GB2312" w:cs="Times New Roman"/>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三是深化重点领域信息公开。</w:t>
      </w:r>
      <w:r>
        <w:rPr>
          <w:rFonts w:hint="eastAsia" w:ascii="仿宋_GB2312" w:hAnsi="仿宋_GB2312" w:eastAsia="仿宋_GB2312" w:cs="仿宋_GB2312"/>
          <w:color w:val="000000"/>
          <w:kern w:val="0"/>
          <w:sz w:val="32"/>
          <w:szCs w:val="32"/>
          <w:lang w:val="en-US" w:eastAsia="zh-CN" w:bidi="ar"/>
        </w:rPr>
        <w:t>按月更新行政事业性收费、政府性基金和实行政府定价的经营服务性收费目录清单。依托“山东临沂政企直通车”平台，实施政策精准推送服务。设置“疫情防控”专栏，发布疫情防控进展信息，及时充分回应社会关切。做好义务教育、就业创业、社会保险信息公开。发布养老保障、养老服务、养老机构、养老设施等相关补贴政策。加大城乡低保、特困人员救助供养、受灾人员救助、医疗救助、教育救助、住房救助、就业救助、临时救助等社会救助信息公开。推进全县公共企事业单位信息公开，在县政府网站在设置公共企事业单位信息公开专栏，按照制度规范全面展示教育、卫生健康、供水、供气、公共交通等46多个</w:t>
      </w:r>
      <w:r>
        <w:rPr>
          <w:rFonts w:hint="eastAsia" w:ascii="仿宋_GB2312" w:hAnsi="楷体" w:eastAsia="仿宋_GB2312" w:cs="Times New Roman"/>
          <w:sz w:val="32"/>
          <w:szCs w:val="32"/>
          <w:lang w:val="en-US" w:eastAsia="zh-CN"/>
        </w:rPr>
        <w:t>企事业单位信息，助力优化营商环境。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（三）本行政机关人大代表建议和政协提案办理结果公开情况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2022年度，沂南县共办理人大代表建议97件、政协委员提案219件，全部按时答复，除涉及国家秘密、工作秘密的，办理结果情况均已在沂南县人民政府网站的人大代表建议与政协委员提案办理情况平台集中公开。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(四)本行政机关年度政务公开工作创新情况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是强化政务公开平台建设。今年以来，对政务公开专栏进行优化升级，提升政府信息“送达率”。坚持“民有所呼、我有所行”原则，将涉及群众切身利益的政策问答库、机构职能、扩大有效投资、行政执法公示、建议提案办理、教育、养老服务、公共文化服务、旅游等设置专栏，充分发挥政府网站政务公开“第一平台”作用。</w:t>
      </w:r>
    </w:p>
    <w:p>
      <w:pPr>
        <w:pStyle w:val="5"/>
        <w:ind w:left="0" w:leftChars="0" w:firstLine="0" w:firstLineChars="0"/>
        <w:jc w:val="center"/>
        <w:rPr>
          <w:rFonts w:hint="default"/>
          <w:lang w:val="en-US" w:eastAsia="zh-CN"/>
        </w:rPr>
      </w:pPr>
      <w:r>
        <w:rPr>
          <w:rFonts w:hint="default"/>
          <w:lang w:val="en-US" w:eastAsia="zh-CN"/>
        </w:rPr>
        <w:drawing>
          <wp:inline distT="0" distB="0" distL="114300" distR="114300">
            <wp:extent cx="4521200" cy="3392170"/>
            <wp:effectExtent l="0" t="0" r="12700" b="17780"/>
            <wp:docPr id="2" name="图片 2" descr="b9993ae133001933e55146224cfc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993ae133001933e55146224cfc84e"/>
                    <pic:cNvPicPr>
                      <a:picLocks noChangeAspect="1"/>
                    </pic:cNvPicPr>
                  </pic:nvPicPr>
                  <pic:blipFill>
                    <a:blip r:embed="rId5"/>
                    <a:stretch>
                      <a:fillRect/>
                    </a:stretch>
                  </pic:blipFill>
                  <pic:spPr>
                    <a:xfrm>
                      <a:off x="0" y="0"/>
                      <a:ext cx="4521200" cy="339217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cs="Times New Roman"/>
          <w:sz w:val="32"/>
          <w:szCs w:val="32"/>
          <w:lang w:eastAsia="zh-CN"/>
        </w:rPr>
      </w:pPr>
      <w:r>
        <w:rPr>
          <w:rFonts w:hint="eastAsia" w:ascii="仿宋_GB2312" w:hAnsi="仿宋_GB2312" w:eastAsia="仿宋_GB2312" w:cs="仿宋_GB2312"/>
          <w:color w:val="000000"/>
          <w:kern w:val="0"/>
          <w:sz w:val="32"/>
          <w:szCs w:val="32"/>
          <w:lang w:val="en-US" w:eastAsia="zh-CN" w:bidi="ar"/>
        </w:rPr>
        <w:t>二是规范依申请公开办理程序。建立依申请公开工作联办会商制度，对收到的依申请公开，按照会商研判、部门提初步意见、电子政务办审核、司法局把关、县领导签批的办理程序进行办理。</w:t>
      </w:r>
      <w:r>
        <w:rPr>
          <w:rFonts w:hint="eastAsia" w:ascii="仿宋_GB2312" w:hAnsi="楷体" w:eastAsia="仿宋_GB2312" w:cs="Times New Roman"/>
          <w:sz w:val="32"/>
          <w:szCs w:val="32"/>
          <w:lang w:eastAsia="zh-CN"/>
        </w:rPr>
        <w:t>下发《关于规范政府信息依申请公开答复的通知》，</w:t>
      </w:r>
      <w:r>
        <w:rPr>
          <w:rFonts w:hint="eastAsia" w:ascii="仿宋_GB2312" w:hAnsi="楷体" w:eastAsia="仿宋_GB2312" w:cs="Times New Roman"/>
          <w:sz w:val="32"/>
          <w:szCs w:val="32"/>
        </w:rPr>
        <w:t>规范统一各乡镇、部门答复材料格式、法律救济渠道等内容，确保答复</w:t>
      </w:r>
      <w:r>
        <w:rPr>
          <w:rFonts w:hint="eastAsia" w:ascii="仿宋_GB2312" w:hAnsi="楷体" w:eastAsia="仿宋_GB2312" w:cs="Times New Roman"/>
          <w:sz w:val="32"/>
          <w:szCs w:val="32"/>
          <w:lang w:val="en-US" w:eastAsia="zh-CN"/>
        </w:rPr>
        <w:t>合法合规</w:t>
      </w:r>
      <w:r>
        <w:rPr>
          <w:rFonts w:hint="eastAsia" w:ascii="仿宋_GB2312" w:hAnsi="楷体"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三是创新政策解读形式。对政策文件库、政策解读栏目进行优化升级，围绕“六稳”“六保”、</w:t>
      </w:r>
      <w:bookmarkStart w:id="0" w:name="_GoBack"/>
      <w:bookmarkEnd w:id="0"/>
      <w:r>
        <w:rPr>
          <w:rFonts w:hint="eastAsia" w:ascii="仿宋_GB2312" w:hAnsi="仿宋_GB2312" w:eastAsia="仿宋_GB2312" w:cs="仿宋_GB2312"/>
          <w:color w:val="000000"/>
          <w:kern w:val="0"/>
          <w:sz w:val="32"/>
          <w:szCs w:val="32"/>
          <w:lang w:val="en-US" w:eastAsia="zh-CN" w:bidi="ar"/>
        </w:rPr>
        <w:t>优化营商环境、疫情防控等重点工作，运用新闻发布会、政策问答、图解、动漫等形式解读，实现政策文件与解读材料的“双向链接”。探索运用“在线访谈”“行风热线”栏目，邀请政策文件的起草单位负责人，通过一问一答的方式，从政策文件的背景、依据、内容、特点等进行实质性解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596265</wp:posOffset>
            </wp:positionH>
            <wp:positionV relativeFrom="page">
              <wp:posOffset>1036320</wp:posOffset>
            </wp:positionV>
            <wp:extent cx="4514850" cy="3474720"/>
            <wp:effectExtent l="0" t="0" r="0" b="11430"/>
            <wp:wrapTopAndBottom/>
            <wp:docPr id="4" name="图片 4" descr="42367dab4e17b917742b5094f16f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2367dab4e17b917742b5094f16f48f"/>
                    <pic:cNvPicPr>
                      <a:picLocks noChangeAspect="1"/>
                    </pic:cNvPicPr>
                  </pic:nvPicPr>
                  <pic:blipFill>
                    <a:blip r:embed="rId6"/>
                    <a:stretch>
                      <a:fillRect/>
                    </a:stretch>
                  </pic:blipFill>
                  <pic:spPr>
                    <a:xfrm>
                      <a:off x="0" y="0"/>
                      <a:ext cx="4514850" cy="3474720"/>
                    </a:xfrm>
                    <a:prstGeom prst="rect">
                      <a:avLst/>
                    </a:prstGeom>
                  </pic:spPr>
                </pic:pic>
              </a:graphicData>
            </a:graphic>
          </wp:anchor>
        </w:drawing>
      </w:r>
      <w:r>
        <w:rPr>
          <w:rFonts w:hint="eastAsia" w:ascii="楷体_GB2312" w:hAnsi="楷体_GB2312" w:eastAsia="楷体_GB2312" w:cs="楷体_GB2312"/>
          <w:color w:val="000000"/>
          <w:kern w:val="0"/>
          <w:sz w:val="32"/>
          <w:szCs w:val="32"/>
          <w:lang w:val="en-US" w:eastAsia="zh-CN" w:bidi="ar"/>
        </w:rPr>
        <w:t>(五)本行政机关政府信息公开工作年度报告数据统计需要说明的事项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本年度报告所列数据统计期限从2022年1月1日到2022年12月31日止。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(六)本行政机关认为需要报告的其他事项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(七)其他有关文件专门要求通过政府信息公开工作年度报告予以报告的事项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zcyNTYzM2Y4MjE0OTBjZTg0ODViOWQ5YWU0OTMifQ=="/>
  </w:docVars>
  <w:rsids>
    <w:rsidRoot w:val="210C145B"/>
    <w:rsid w:val="0156177E"/>
    <w:rsid w:val="01BF5575"/>
    <w:rsid w:val="01D84888"/>
    <w:rsid w:val="020A2568"/>
    <w:rsid w:val="03A04F32"/>
    <w:rsid w:val="04133956"/>
    <w:rsid w:val="042913CB"/>
    <w:rsid w:val="04970DC5"/>
    <w:rsid w:val="05123C0E"/>
    <w:rsid w:val="053B4843"/>
    <w:rsid w:val="06B807E5"/>
    <w:rsid w:val="06C824AF"/>
    <w:rsid w:val="0767227E"/>
    <w:rsid w:val="07BA233A"/>
    <w:rsid w:val="080A1514"/>
    <w:rsid w:val="08B9797D"/>
    <w:rsid w:val="097906FF"/>
    <w:rsid w:val="0B0B182B"/>
    <w:rsid w:val="0B4D1E43"/>
    <w:rsid w:val="0B5C5BE2"/>
    <w:rsid w:val="0C012C2E"/>
    <w:rsid w:val="0CA973C5"/>
    <w:rsid w:val="0D881F2A"/>
    <w:rsid w:val="0DBD4431"/>
    <w:rsid w:val="0ED505F0"/>
    <w:rsid w:val="0EE37145"/>
    <w:rsid w:val="0F2A0775"/>
    <w:rsid w:val="0F6F627F"/>
    <w:rsid w:val="0FA67D74"/>
    <w:rsid w:val="10AB3168"/>
    <w:rsid w:val="10B84804"/>
    <w:rsid w:val="111451B1"/>
    <w:rsid w:val="11AE2F10"/>
    <w:rsid w:val="12F97D0C"/>
    <w:rsid w:val="13347445"/>
    <w:rsid w:val="14EF3F6B"/>
    <w:rsid w:val="155C2C83"/>
    <w:rsid w:val="1582581E"/>
    <w:rsid w:val="182B350C"/>
    <w:rsid w:val="188F58CF"/>
    <w:rsid w:val="18956BD8"/>
    <w:rsid w:val="196A559A"/>
    <w:rsid w:val="19732EFB"/>
    <w:rsid w:val="1A6159B5"/>
    <w:rsid w:val="1AC527BF"/>
    <w:rsid w:val="1B012302"/>
    <w:rsid w:val="1BAE63F4"/>
    <w:rsid w:val="1BF14125"/>
    <w:rsid w:val="1D4806BC"/>
    <w:rsid w:val="1E1265D5"/>
    <w:rsid w:val="1E51534F"/>
    <w:rsid w:val="1E786D7F"/>
    <w:rsid w:val="1EA8750E"/>
    <w:rsid w:val="1EF04B68"/>
    <w:rsid w:val="208A4B48"/>
    <w:rsid w:val="210C145B"/>
    <w:rsid w:val="21FC7E92"/>
    <w:rsid w:val="22917A4E"/>
    <w:rsid w:val="23004223"/>
    <w:rsid w:val="23005595"/>
    <w:rsid w:val="25216B8E"/>
    <w:rsid w:val="25FA2770"/>
    <w:rsid w:val="264D0AF2"/>
    <w:rsid w:val="26EA537B"/>
    <w:rsid w:val="27027B2E"/>
    <w:rsid w:val="28457AD7"/>
    <w:rsid w:val="297D524A"/>
    <w:rsid w:val="29915199"/>
    <w:rsid w:val="29AC5B2F"/>
    <w:rsid w:val="2ABF1892"/>
    <w:rsid w:val="2B193698"/>
    <w:rsid w:val="2C1B0D4A"/>
    <w:rsid w:val="2CF27CFD"/>
    <w:rsid w:val="2D03015C"/>
    <w:rsid w:val="2DA52FC1"/>
    <w:rsid w:val="2FBA1D53"/>
    <w:rsid w:val="2FD7142C"/>
    <w:rsid w:val="307D1FD3"/>
    <w:rsid w:val="317E6003"/>
    <w:rsid w:val="31E57E30"/>
    <w:rsid w:val="31F14A27"/>
    <w:rsid w:val="32123D69"/>
    <w:rsid w:val="3337290D"/>
    <w:rsid w:val="33DB773D"/>
    <w:rsid w:val="34367069"/>
    <w:rsid w:val="34664594"/>
    <w:rsid w:val="34DC1ED3"/>
    <w:rsid w:val="372E4027"/>
    <w:rsid w:val="37F618B4"/>
    <w:rsid w:val="38376F0C"/>
    <w:rsid w:val="38514471"/>
    <w:rsid w:val="3A865F28"/>
    <w:rsid w:val="3AA83318"/>
    <w:rsid w:val="3B077069"/>
    <w:rsid w:val="3BF53366"/>
    <w:rsid w:val="3C630D75"/>
    <w:rsid w:val="3C690C9B"/>
    <w:rsid w:val="3CFB4907"/>
    <w:rsid w:val="3D4225DB"/>
    <w:rsid w:val="3DB50FFF"/>
    <w:rsid w:val="3DBF00CF"/>
    <w:rsid w:val="3E1C7FD5"/>
    <w:rsid w:val="3E4D41B2"/>
    <w:rsid w:val="3E68075C"/>
    <w:rsid w:val="3EE87B22"/>
    <w:rsid w:val="3F9B2476"/>
    <w:rsid w:val="4050500F"/>
    <w:rsid w:val="41662610"/>
    <w:rsid w:val="41DD0B24"/>
    <w:rsid w:val="42442951"/>
    <w:rsid w:val="42817701"/>
    <w:rsid w:val="42DD027C"/>
    <w:rsid w:val="4352481F"/>
    <w:rsid w:val="446E0D76"/>
    <w:rsid w:val="44BF6C07"/>
    <w:rsid w:val="453E3FCF"/>
    <w:rsid w:val="45684BA8"/>
    <w:rsid w:val="45915E08"/>
    <w:rsid w:val="459F5292"/>
    <w:rsid w:val="461940F5"/>
    <w:rsid w:val="49044BE8"/>
    <w:rsid w:val="49064E04"/>
    <w:rsid w:val="492359B6"/>
    <w:rsid w:val="49635DB3"/>
    <w:rsid w:val="49896E4F"/>
    <w:rsid w:val="4DA1334D"/>
    <w:rsid w:val="503B1E8C"/>
    <w:rsid w:val="50791ED2"/>
    <w:rsid w:val="50D04016"/>
    <w:rsid w:val="50D21A70"/>
    <w:rsid w:val="538452A3"/>
    <w:rsid w:val="53BD6A07"/>
    <w:rsid w:val="558723B3"/>
    <w:rsid w:val="56170651"/>
    <w:rsid w:val="56892BD1"/>
    <w:rsid w:val="578F06BB"/>
    <w:rsid w:val="5A3B2434"/>
    <w:rsid w:val="5A625C12"/>
    <w:rsid w:val="5AA601F5"/>
    <w:rsid w:val="5AF32D0E"/>
    <w:rsid w:val="5C1967A5"/>
    <w:rsid w:val="5C563555"/>
    <w:rsid w:val="5C8C3A7B"/>
    <w:rsid w:val="5D465377"/>
    <w:rsid w:val="5EFB03E4"/>
    <w:rsid w:val="5FB76ABC"/>
    <w:rsid w:val="5FBE011E"/>
    <w:rsid w:val="60847992"/>
    <w:rsid w:val="60C767CF"/>
    <w:rsid w:val="611F660B"/>
    <w:rsid w:val="61A30FEA"/>
    <w:rsid w:val="62AA63A9"/>
    <w:rsid w:val="62B66AFB"/>
    <w:rsid w:val="631303F2"/>
    <w:rsid w:val="632208A8"/>
    <w:rsid w:val="634D70BD"/>
    <w:rsid w:val="659A0956"/>
    <w:rsid w:val="664A237C"/>
    <w:rsid w:val="666B74A6"/>
    <w:rsid w:val="673B24FB"/>
    <w:rsid w:val="67DF665A"/>
    <w:rsid w:val="68375717"/>
    <w:rsid w:val="69454E81"/>
    <w:rsid w:val="6A2133F4"/>
    <w:rsid w:val="6A9E0252"/>
    <w:rsid w:val="6B39476E"/>
    <w:rsid w:val="6C007039"/>
    <w:rsid w:val="6C1D408F"/>
    <w:rsid w:val="6D9B170F"/>
    <w:rsid w:val="6E867CCA"/>
    <w:rsid w:val="6EBD1212"/>
    <w:rsid w:val="6FC30AAA"/>
    <w:rsid w:val="709D035C"/>
    <w:rsid w:val="71A1027C"/>
    <w:rsid w:val="725E5648"/>
    <w:rsid w:val="726C367A"/>
    <w:rsid w:val="72E66F89"/>
    <w:rsid w:val="72ED0BB5"/>
    <w:rsid w:val="73465C7A"/>
    <w:rsid w:val="73D16136"/>
    <w:rsid w:val="74404DBF"/>
    <w:rsid w:val="751A73BE"/>
    <w:rsid w:val="753C2EB5"/>
    <w:rsid w:val="7592164A"/>
    <w:rsid w:val="75A046DF"/>
    <w:rsid w:val="76212067"/>
    <w:rsid w:val="76667385"/>
    <w:rsid w:val="767437E7"/>
    <w:rsid w:val="767E572A"/>
    <w:rsid w:val="7693567A"/>
    <w:rsid w:val="77000835"/>
    <w:rsid w:val="78BB2C66"/>
    <w:rsid w:val="78E75809"/>
    <w:rsid w:val="79532E9E"/>
    <w:rsid w:val="798412AA"/>
    <w:rsid w:val="79891F11"/>
    <w:rsid w:val="7A293BFF"/>
    <w:rsid w:val="7A682979"/>
    <w:rsid w:val="7BE247F0"/>
    <w:rsid w:val="7CAF4890"/>
    <w:rsid w:val="7CC876FF"/>
    <w:rsid w:val="7F3F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rFonts w:ascii="仿宋" w:hAnsi="仿宋" w:eastAsia="仿宋" w:cs="Times New Roman"/>
      <w:b/>
      <w:color w:val="000000"/>
      <w:sz w:val="28"/>
      <w:szCs w:val="28"/>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spacing w:after="0"/>
      <w:ind w:left="0" w:leftChars="0" w:firstLine="420" w:firstLineChars="200"/>
    </w:pPr>
    <w:rPr>
      <w:rFonts w:ascii="仿宋_GB2312" w:eastAsia="仿宋_GB2312"/>
      <w:sz w:val="32"/>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4494</Words>
  <Characters>4719</Characters>
  <Lines>0</Lines>
  <Paragraphs>0</Paragraphs>
  <TotalTime>19</TotalTime>
  <ScaleCrop>false</ScaleCrop>
  <LinksUpToDate>false</LinksUpToDate>
  <CharactersWithSpaces>4745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2023-01-23T07:28:00Z</dcterms:created>
  <dc:creator>Lu_Mia</dc:creator>
  <cp:lastModifiedBy>ynx408</cp:lastModifiedBy>
  <dcterms:modified xsi:type="dcterms:W3CDTF">2023-03-29T03:38:07Z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315047804E474237A9DE1B3594AA211E</vt:lpwstr>
  </property>
</Properties>
</file>