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p>
    <w:p>
      <w:pPr>
        <w:pStyle w:val="2"/>
        <w:rPr>
          <w:rFonts w:hint="default" w:ascii="方正小标宋简体" w:hAnsi="方正小标宋简体" w:eastAsia="方正小标宋简体" w:cs="方正小标宋简体"/>
          <w:sz w:val="44"/>
          <w:szCs w:val="44"/>
        </w:rPr>
      </w:pPr>
    </w:p>
    <w:p>
      <w:pPr>
        <w:pStyle w:val="2"/>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沂南县人民政府</w:t>
      </w:r>
    </w:p>
    <w:p>
      <w:pPr>
        <w:pStyle w:val="2"/>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2020年政府信息公开工作年度报告</w:t>
      </w: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ind w:left="0" w:lef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沂南县人民政府办公室</w:t>
      </w:r>
    </w:p>
    <w:p>
      <w:pPr>
        <w:pStyle w:val="2"/>
        <w:ind w:left="0" w:lef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二〇二一年二月</w:t>
      </w: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r>
        <w:rPr>
          <w:rFonts w:hint="default" w:ascii="方正小标宋简体" w:hAnsi="方正小标宋简体" w:eastAsia="方正小标宋简体" w:cs="方正小标宋简体"/>
          <w:sz w:val="44"/>
          <w:szCs w:val="44"/>
        </w:rPr>
        <w:t>沂南县人民政府</w:t>
      </w:r>
      <w:r>
        <w:rPr>
          <w:rFonts w:hint="eastAsia" w:ascii="方正小标宋简体" w:hAnsi="方正小标宋简体" w:eastAsia="方正小标宋简体" w:cs="方正小标宋简体"/>
          <w:sz w:val="44"/>
          <w:szCs w:val="44"/>
          <w:lang w:val="en-US" w:eastAsia="zh-CN"/>
        </w:rPr>
        <w:t>2020</w:t>
      </w:r>
      <w:r>
        <w:rPr>
          <w:rFonts w:hint="default" w:ascii="方正小标宋简体" w:hAnsi="方正小标宋简体" w:eastAsia="方正小标宋简体" w:cs="方正小标宋简体"/>
          <w:sz w:val="44"/>
          <w:szCs w:val="44"/>
        </w:rPr>
        <w:t>年</w:t>
      </w: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r>
        <w:rPr>
          <w:rFonts w:hint="default" w:ascii="方正小标宋简体" w:hAnsi="方正小标宋简体" w:eastAsia="方正小标宋简体" w:cs="方正小标宋简体"/>
          <w:sz w:val="44"/>
          <w:szCs w:val="44"/>
        </w:rPr>
        <w:t>政府信息公开工作年度报告</w:t>
      </w: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Times New Roman" w:hAnsi="Times New Roman" w:eastAsia="方正小标宋简体" w:cs="Times New Roman"/>
          <w:kern w:val="0"/>
          <w:sz w:val="52"/>
          <w:szCs w:val="52"/>
        </w:rPr>
      </w:pP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报告由沂南县人民政府办公室按照《中华人民共和国政府信息公开条例》（以下简称《条例》）、《山东省政府信息公开办法》（以下简称《办法》）及有关法律法规的要求，根据全县16个乡镇（街道、开发区）和县政府5</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个部门的20</w:t>
      </w:r>
      <w:r>
        <w:rPr>
          <w:rFonts w:hint="eastAsia" w:ascii="Times New Roman" w:hAnsi="Times New Roman" w:eastAsia="仿宋_GB2312" w:cs="Times New Roman"/>
          <w:kern w:val="0"/>
          <w:sz w:val="32"/>
          <w:szCs w:val="32"/>
          <w:lang w:val="en-US" w:eastAsia="zh-CN"/>
        </w:rPr>
        <w:t>20</w:t>
      </w:r>
      <w:r>
        <w:rPr>
          <w:rFonts w:hint="default" w:ascii="Times New Roman" w:hAnsi="Times New Roman" w:eastAsia="仿宋_GB2312" w:cs="Times New Roman"/>
          <w:kern w:val="0"/>
          <w:sz w:val="32"/>
          <w:szCs w:val="32"/>
        </w:rPr>
        <w:t>年政府信息公开工作年度报告编制，</w:t>
      </w:r>
      <w:r>
        <w:rPr>
          <w:rFonts w:hint="eastAsia" w:ascii="Times New Roman" w:hAnsi="Times New Roman" w:eastAsia="仿宋_GB2312" w:cs="Times New Roman"/>
          <w:kern w:val="0"/>
          <w:sz w:val="32"/>
          <w:szCs w:val="32"/>
        </w:rPr>
        <w:t>由总体情况、主动公开政府信息情况、收到和处理政府信息公开申请情况、政府信息公开行政复议和行政诉讼情况、存在的主要问题及改进措施、其他需要报告的事项共6个部分组成。</w:t>
      </w:r>
      <w:r>
        <w:rPr>
          <w:rFonts w:hint="eastAsia" w:ascii="Times New Roman" w:hAnsi="Times New Roman" w:eastAsia="仿宋_GB2312" w:cs="Times New Roman"/>
          <w:kern w:val="0"/>
          <w:sz w:val="32"/>
          <w:szCs w:val="32"/>
          <w:lang w:val="en-US" w:eastAsia="zh-CN"/>
        </w:rPr>
        <w:t>本报告中</w:t>
      </w:r>
      <w:r>
        <w:rPr>
          <w:rFonts w:hint="default" w:ascii="Times New Roman" w:hAnsi="Times New Roman" w:eastAsia="仿宋_GB2312" w:cs="Times New Roman"/>
          <w:kern w:val="0"/>
          <w:sz w:val="32"/>
          <w:szCs w:val="32"/>
        </w:rPr>
        <w:t>所列数据的统计期限自</w:t>
      </w:r>
      <w:r>
        <w:rPr>
          <w:rFonts w:hint="eastAsia" w:ascii="Times New Roman" w:hAnsi="Times New Roman" w:eastAsia="仿宋_GB2312" w:cs="Times New Roman"/>
          <w:kern w:val="0"/>
          <w:sz w:val="32"/>
          <w:szCs w:val="32"/>
          <w:lang w:val="en-US" w:eastAsia="zh-CN"/>
        </w:rPr>
        <w:t>2020</w:t>
      </w:r>
      <w:r>
        <w:rPr>
          <w:rFonts w:hint="default" w:ascii="Times New Roman" w:hAnsi="Times New Roman" w:eastAsia="仿宋_GB2312" w:cs="Times New Roman"/>
          <w:kern w:val="0"/>
          <w:sz w:val="32"/>
          <w:szCs w:val="32"/>
        </w:rPr>
        <w:t>年1月1日起至20</w:t>
      </w:r>
      <w:r>
        <w:rPr>
          <w:rFonts w:hint="eastAsia" w:ascii="Times New Roman" w:hAnsi="Times New Roman" w:eastAsia="仿宋_GB2312" w:cs="Times New Roman"/>
          <w:kern w:val="0"/>
          <w:sz w:val="32"/>
          <w:szCs w:val="32"/>
          <w:lang w:val="en-US" w:eastAsia="zh-CN"/>
        </w:rPr>
        <w:t>20</w:t>
      </w:r>
      <w:r>
        <w:rPr>
          <w:rFonts w:hint="default" w:ascii="Times New Roman" w:hAnsi="Times New Roman" w:eastAsia="仿宋_GB2312" w:cs="Times New Roman"/>
          <w:kern w:val="0"/>
          <w:sz w:val="32"/>
          <w:szCs w:val="32"/>
        </w:rPr>
        <w:t>年12月31日止。</w:t>
      </w:r>
      <w:r>
        <w:rPr>
          <w:rFonts w:hint="eastAsia" w:ascii="Times New Roman" w:hAnsi="Times New Roman" w:eastAsia="仿宋_GB2312" w:cs="Times New Roman"/>
          <w:kern w:val="0"/>
          <w:sz w:val="32"/>
          <w:szCs w:val="32"/>
        </w:rPr>
        <w:t>本报告电子版可在</w:t>
      </w:r>
      <w:r>
        <w:rPr>
          <w:rFonts w:hint="eastAsia" w:ascii="Times New Roman" w:hAnsi="Times New Roman" w:eastAsia="仿宋_GB2312" w:cs="Times New Roman"/>
          <w:kern w:val="0"/>
          <w:sz w:val="32"/>
          <w:szCs w:val="32"/>
          <w:lang w:val="en-US" w:eastAsia="zh-CN"/>
        </w:rPr>
        <w:t>沂南县</w:t>
      </w:r>
      <w:r>
        <w:rPr>
          <w:rFonts w:hint="eastAsia" w:ascii="Times New Roman" w:hAnsi="Times New Roman" w:eastAsia="仿宋_GB2312" w:cs="Times New Roman"/>
          <w:kern w:val="0"/>
          <w:sz w:val="32"/>
          <w:szCs w:val="32"/>
        </w:rPr>
        <w:t>人民政府门户网站（http://www.yinan.gov.cn/）查阅或下载。如对本报告有疑问</w:t>
      </w:r>
      <w:r>
        <w:rPr>
          <w:rFonts w:hint="default" w:ascii="Times New Roman" w:hAnsi="Times New Roman" w:eastAsia="仿宋_GB2312" w:cs="Times New Roman"/>
          <w:kern w:val="0"/>
          <w:sz w:val="32"/>
          <w:szCs w:val="32"/>
        </w:rPr>
        <w:t>，请与沂南县</w:t>
      </w:r>
      <w:r>
        <w:rPr>
          <w:rFonts w:hint="eastAsia" w:ascii="Times New Roman" w:hAnsi="Times New Roman" w:eastAsia="仿宋_GB2312" w:cs="Times New Roman"/>
          <w:kern w:val="0"/>
          <w:sz w:val="32"/>
          <w:szCs w:val="32"/>
          <w:lang w:val="en-US" w:eastAsia="zh-CN"/>
        </w:rPr>
        <w:t>人民政府政务公开工作办公室</w:t>
      </w:r>
      <w:r>
        <w:rPr>
          <w:rFonts w:hint="default" w:ascii="Times New Roman" w:hAnsi="Times New Roman" w:eastAsia="仿宋_GB2312" w:cs="Times New Roman"/>
          <w:kern w:val="0"/>
          <w:sz w:val="32"/>
          <w:szCs w:val="32"/>
        </w:rPr>
        <w:t>联系（地址:沂南县人民路42号行政中心</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rPr>
        <w:t>邮政编码:276300</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电话：0539-3229017</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电子邮箱：ynxzfxxgk@ly.shandong.cn</w:t>
      </w:r>
      <w:r>
        <w:rPr>
          <w:rFonts w:hint="default" w:ascii="Times New Roman" w:hAnsi="Times New Roman" w:eastAsia="仿宋_GB2312" w:cs="Times New Roman"/>
          <w:kern w:val="0"/>
          <w:sz w:val="32"/>
          <w:szCs w:val="32"/>
        </w:rPr>
        <w:t>）。</w:t>
      </w:r>
    </w:p>
    <w:p>
      <w:pPr>
        <w:keepNext w:val="0"/>
        <w:keepLines w:val="0"/>
        <w:pageBreakBefore w:val="0"/>
        <w:widowControl w:val="0"/>
        <w:numPr>
          <w:ilvl w:val="0"/>
          <w:numId w:val="0"/>
        </w:numPr>
        <w:kinsoku/>
        <w:wordWrap/>
        <w:overflowPunct/>
        <w:topLinePunct w:val="0"/>
        <w:bidi w:val="0"/>
        <w:adjustRightInd w:val="0"/>
        <w:snapToGrid w:val="0"/>
        <w:spacing w:line="60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val="en-US" w:eastAsia="zh-CN"/>
        </w:rPr>
        <w:t>一、</w:t>
      </w:r>
      <w:r>
        <w:rPr>
          <w:rFonts w:hint="default" w:ascii="Times New Roman" w:hAnsi="Times New Roman" w:eastAsia="黑体" w:cs="Times New Roman"/>
          <w:sz w:val="32"/>
          <w:szCs w:val="32"/>
        </w:rPr>
        <w:t>总体情况</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2020年，沂南县以习近平新时代中国特色社会主义思想为指导，全面贯彻党中央、国务院各项决策部署，按照《国务院办公厅关于印发2020年政务公开工作要点的通知》（国办发〔2020〕17号）、《山东省人民政府办公厅关于印发2020年山东省政务公开工作要点的通知》（鲁政办字﹝2020﹞78号）、《临沂市人民政府办公室关于印发2020年临沂市政务公开工作要点的通知》（临政办字﹝2020﹞87号）要求，以公开促落实、促规范、促服务，全面提升政务公开质量和实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00" w:lineRule="exact"/>
        <w:ind w:left="0" w:right="0" w:firstLine="640" w:firstLineChars="200"/>
        <w:jc w:val="both"/>
        <w:textAlignment w:val="auto"/>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（一）</w:t>
      </w:r>
      <w:r>
        <w:rPr>
          <w:rFonts w:hint="default" w:ascii="楷体_GB2312" w:hAnsi="楷体_GB2312" w:eastAsia="楷体_GB2312" w:cs="楷体_GB2312"/>
          <w:kern w:val="0"/>
          <w:sz w:val="32"/>
          <w:szCs w:val="32"/>
          <w:lang w:val="en-US" w:eastAsia="zh-CN" w:bidi="ar"/>
        </w:rPr>
        <w:t>主动公开</w:t>
      </w:r>
      <w:r>
        <w:rPr>
          <w:rFonts w:hint="eastAsia" w:ascii="楷体_GB2312" w:hAnsi="楷体_GB2312" w:eastAsia="楷体_GB2312" w:cs="楷体_GB2312"/>
          <w:kern w:val="0"/>
          <w:sz w:val="32"/>
          <w:szCs w:val="32"/>
          <w:lang w:val="en-US" w:eastAsia="zh-CN" w:bidi="ar"/>
        </w:rPr>
        <w:t>情况</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00" w:lineRule="exact"/>
        <w:ind w:left="0" w:right="0" w:firstLine="643" w:firstLineChars="200"/>
        <w:jc w:val="both"/>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1、推进决策公开。</w:t>
      </w:r>
      <w:r>
        <w:rPr>
          <w:rFonts w:hint="eastAsia" w:ascii="仿宋_GB2312" w:hAnsi="仿宋_GB2312" w:eastAsia="仿宋_GB2312" w:cs="仿宋_GB2312"/>
          <w:b w:val="0"/>
          <w:bCs w:val="0"/>
          <w:kern w:val="0"/>
          <w:sz w:val="32"/>
          <w:szCs w:val="32"/>
          <w:lang w:val="en-US" w:eastAsia="zh-CN" w:bidi="ar"/>
        </w:rPr>
        <w:t>一是做好重大决策预公开。</w:t>
      </w:r>
      <w:r>
        <w:rPr>
          <w:rFonts w:hint="eastAsia" w:ascii="仿宋_GB2312" w:eastAsia="仿宋_GB2312"/>
          <w:b w:val="0"/>
          <w:bCs w:val="0"/>
          <w:color w:val="000000" w:themeColor="text1"/>
          <w:sz w:val="32"/>
          <w:szCs w:val="32"/>
          <w14:textFill>
            <w14:solidFill>
              <w14:schemeClr w14:val="tx1"/>
            </w14:solidFill>
          </w14:textFill>
        </w:rPr>
        <w:t>建立重大决策预公开制度，设置重大决策预公开专栏，</w:t>
      </w:r>
      <w:r>
        <w:rPr>
          <w:rFonts w:hint="eastAsia" w:ascii="仿宋_GB2312" w:hAnsi="仿宋_GB2312" w:eastAsia="仿宋_GB2312" w:cs="仿宋_GB2312"/>
          <w:b w:val="0"/>
          <w:bCs w:val="0"/>
          <w:kern w:val="0"/>
          <w:sz w:val="32"/>
          <w:szCs w:val="32"/>
          <w:lang w:val="en-US" w:eastAsia="zh-CN" w:bidi="ar"/>
        </w:rPr>
        <w:t>发布《沂南县2020年重大行政决策事项目录》《沂南县人民政府重大行政决策程序规定》，集中公开意见征集公告内容、草案内容、决策依据、结果反馈和我要发表意见等信息，让公众全面了解拟征集重大决策事项的“来龙去脉”，实现重大决策事项</w:t>
      </w:r>
      <w:r>
        <w:rPr>
          <w:rFonts w:hint="eastAsia" w:ascii="仿宋_GB2312" w:eastAsia="仿宋_GB2312"/>
          <w:b w:val="0"/>
          <w:bCs w:val="0"/>
          <w:sz w:val="32"/>
          <w:szCs w:val="32"/>
        </w:rPr>
        <w:t>全流程公开、全过程公开。</w:t>
      </w:r>
      <w:r>
        <w:rPr>
          <w:rFonts w:hint="eastAsia" w:ascii="仿宋_GB2312" w:eastAsia="仿宋_GB2312"/>
          <w:b w:val="0"/>
          <w:bCs w:val="0"/>
          <w:sz w:val="32"/>
          <w:szCs w:val="32"/>
          <w:lang w:val="en-US" w:eastAsia="zh-CN"/>
        </w:rPr>
        <w:t>二是做好会议公开。</w:t>
      </w:r>
      <w:r>
        <w:rPr>
          <w:rFonts w:hint="eastAsia" w:ascii="仿宋_GB2312" w:eastAsia="仿宋_GB2312"/>
          <w:b w:val="0"/>
          <w:bCs w:val="0"/>
          <w:sz w:val="32"/>
          <w:szCs w:val="32"/>
        </w:rPr>
        <w:t>坚持“开门决策”，问计于民、问需于民，</w:t>
      </w:r>
      <w:r>
        <w:rPr>
          <w:rFonts w:hint="eastAsia" w:ascii="仿宋_GB2312" w:hAnsi="仿宋_GB2312" w:eastAsia="仿宋_GB2312" w:cs="仿宋_GB2312"/>
          <w:b w:val="0"/>
          <w:bCs w:val="0"/>
          <w:kern w:val="0"/>
          <w:sz w:val="32"/>
          <w:szCs w:val="32"/>
          <w:lang w:val="en-US" w:eastAsia="zh-CN" w:bidi="ar"/>
        </w:rPr>
        <w:t>邀请利</w:t>
      </w:r>
      <w:r>
        <w:rPr>
          <w:rFonts w:hint="eastAsia" w:ascii="仿宋_GB2312" w:hAnsi="仿宋_GB2312" w:eastAsia="仿宋_GB2312" w:cs="仿宋_GB2312"/>
          <w:kern w:val="0"/>
          <w:sz w:val="32"/>
          <w:szCs w:val="32"/>
          <w:lang w:val="en-US" w:eastAsia="zh-CN" w:bidi="ar"/>
        </w:rPr>
        <w:t>益相关方、公众代表、专家、媒体等列席政府</w:t>
      </w:r>
      <w:r>
        <w:rPr>
          <w:rFonts w:hint="eastAsia" w:ascii="仿宋_GB2312" w:hAnsi="仿宋_GB2312" w:eastAsia="仿宋_GB2312" w:cs="仿宋_GB2312"/>
          <w:b w:val="0"/>
          <w:bCs w:val="0"/>
          <w:kern w:val="0"/>
          <w:sz w:val="32"/>
          <w:szCs w:val="32"/>
          <w:lang w:val="en-US" w:eastAsia="zh-CN" w:bidi="ar"/>
        </w:rPr>
        <w:t>常务会，通过</w:t>
      </w:r>
      <w:r>
        <w:rPr>
          <w:rFonts w:hint="eastAsia" w:ascii="仿宋_GB2312" w:eastAsia="仿宋_GB2312"/>
          <w:b w:val="0"/>
          <w:bCs w:val="0"/>
          <w:sz w:val="32"/>
          <w:szCs w:val="32"/>
          <w:lang w:val="en-US" w:eastAsia="zh-CN"/>
        </w:rPr>
        <w:t>县</w:t>
      </w:r>
      <w:r>
        <w:rPr>
          <w:rFonts w:hint="eastAsia" w:ascii="仿宋_GB2312" w:eastAsia="仿宋_GB2312"/>
          <w:b w:val="0"/>
          <w:bCs w:val="0"/>
          <w:sz w:val="32"/>
          <w:szCs w:val="32"/>
        </w:rPr>
        <w:t>政府网站和</w:t>
      </w:r>
      <w:r>
        <w:rPr>
          <w:rFonts w:hint="eastAsia" w:ascii="仿宋_GB2312" w:eastAsia="仿宋_GB2312"/>
          <w:b w:val="0"/>
          <w:bCs w:val="0"/>
          <w:sz w:val="32"/>
          <w:szCs w:val="32"/>
          <w:lang w:val="en-US" w:eastAsia="zh-CN"/>
        </w:rPr>
        <w:t>沂南通讯</w:t>
      </w:r>
      <w:r>
        <w:rPr>
          <w:rFonts w:hint="eastAsia" w:ascii="仿宋_GB2312" w:eastAsia="仿宋_GB2312"/>
          <w:b w:val="0"/>
          <w:bCs w:val="0"/>
          <w:sz w:val="32"/>
          <w:szCs w:val="32"/>
        </w:rPr>
        <w:t>等宣传媒介主动公开议定事项及参会情况</w:t>
      </w:r>
      <w:r>
        <w:rPr>
          <w:rFonts w:hint="eastAsia" w:ascii="仿宋_GB2312" w:eastAsia="仿宋_GB2312"/>
          <w:b w:val="0"/>
          <w:bCs w:val="0"/>
          <w:sz w:val="32"/>
          <w:szCs w:val="32"/>
          <w:lang w:val="en-US" w:eastAsia="zh-CN"/>
        </w:rPr>
        <w:t>，对会议内容实现全部图解。三是做好政策文件公开。设立政策文件专栏，集中统一公开制定及执行的文件，涵盖县政府文件、县政府办公室文件、规范性文件、部门文件、乡镇文件等。</w:t>
      </w:r>
      <w:r>
        <w:rPr>
          <w:rFonts w:hint="default" w:ascii="仿宋_GB2312" w:eastAsia="仿宋_GB2312"/>
          <w:b w:val="0"/>
          <w:bCs w:val="0"/>
          <w:sz w:val="32"/>
          <w:szCs w:val="32"/>
          <w:lang w:val="en-US" w:eastAsia="zh-CN"/>
        </w:rPr>
        <w:t>20</w:t>
      </w:r>
      <w:r>
        <w:rPr>
          <w:rFonts w:hint="eastAsia" w:ascii="仿宋_GB2312" w:eastAsia="仿宋_GB2312"/>
          <w:b w:val="0"/>
          <w:bCs w:val="0"/>
          <w:sz w:val="32"/>
          <w:szCs w:val="32"/>
          <w:lang w:val="en-US" w:eastAsia="zh-CN"/>
        </w:rPr>
        <w:t>20</w:t>
      </w:r>
      <w:r>
        <w:rPr>
          <w:rFonts w:hint="default" w:ascii="仿宋_GB2312" w:eastAsia="仿宋_GB2312"/>
          <w:b w:val="0"/>
          <w:bCs w:val="0"/>
          <w:sz w:val="32"/>
          <w:szCs w:val="32"/>
          <w:lang w:val="en-US" w:eastAsia="zh-CN"/>
        </w:rPr>
        <w:t>年</w:t>
      </w:r>
      <w:r>
        <w:rPr>
          <w:rFonts w:hint="default" w:ascii="仿宋_GB2312" w:hAnsi="仿宋_GB2312" w:eastAsia="仿宋_GB2312" w:cs="仿宋_GB2312"/>
          <w:b w:val="0"/>
          <w:bCs w:val="0"/>
          <w:kern w:val="0"/>
          <w:sz w:val="32"/>
          <w:szCs w:val="32"/>
          <w:lang w:val="en-US" w:eastAsia="zh-CN" w:bidi="ar"/>
        </w:rPr>
        <w:t>，公开规范性文件</w:t>
      </w:r>
      <w:r>
        <w:rPr>
          <w:rFonts w:hint="eastAsia" w:ascii="仿宋_GB2312" w:hAnsi="仿宋_GB2312" w:eastAsia="仿宋_GB2312" w:cs="仿宋_GB2312"/>
          <w:b w:val="0"/>
          <w:bCs w:val="0"/>
          <w:kern w:val="0"/>
          <w:sz w:val="32"/>
          <w:szCs w:val="32"/>
          <w:lang w:val="en-US" w:eastAsia="zh-CN" w:bidi="ar"/>
        </w:rPr>
        <w:t>8</w:t>
      </w:r>
      <w:r>
        <w:rPr>
          <w:rFonts w:hint="default" w:ascii="仿宋_GB2312" w:hAnsi="仿宋_GB2312" w:eastAsia="仿宋_GB2312" w:cs="仿宋_GB2312"/>
          <w:b w:val="0"/>
          <w:bCs w:val="0"/>
          <w:kern w:val="0"/>
          <w:sz w:val="32"/>
          <w:szCs w:val="32"/>
          <w:lang w:val="en-US" w:eastAsia="zh-CN" w:bidi="ar"/>
        </w:rPr>
        <w:t>件、县政府及县政府办公室文件</w:t>
      </w:r>
      <w:r>
        <w:rPr>
          <w:rFonts w:hint="eastAsia" w:ascii="仿宋_GB2312" w:hAnsi="仿宋_GB2312" w:eastAsia="仿宋_GB2312" w:cs="仿宋_GB2312"/>
          <w:b w:val="0"/>
          <w:bCs w:val="0"/>
          <w:kern w:val="0"/>
          <w:sz w:val="32"/>
          <w:szCs w:val="32"/>
          <w:lang w:val="en-US" w:eastAsia="zh-CN" w:bidi="ar"/>
        </w:rPr>
        <w:t>33</w:t>
      </w:r>
      <w:r>
        <w:rPr>
          <w:rFonts w:hint="default" w:ascii="仿宋_GB2312" w:hAnsi="仿宋_GB2312" w:eastAsia="仿宋_GB2312" w:cs="仿宋_GB2312"/>
          <w:b w:val="0"/>
          <w:bCs w:val="0"/>
          <w:kern w:val="0"/>
          <w:sz w:val="32"/>
          <w:szCs w:val="32"/>
          <w:lang w:val="en-US" w:eastAsia="zh-CN" w:bidi="ar"/>
        </w:rPr>
        <w:t>件。</w:t>
      </w:r>
      <w:r>
        <w:rPr>
          <w:rFonts w:hint="eastAsia" w:ascii="仿宋_GB2312" w:hAnsi="仿宋_GB2312" w:eastAsia="仿宋_GB2312" w:cs="仿宋_GB2312"/>
          <w:b w:val="0"/>
          <w:bCs w:val="0"/>
          <w:kern w:val="0"/>
          <w:sz w:val="32"/>
          <w:szCs w:val="32"/>
          <w:lang w:val="en-US" w:eastAsia="zh-CN" w:bidi="ar"/>
        </w:rPr>
        <w:t>同时，按季度公开县政府规范性</w:t>
      </w:r>
      <w:r>
        <w:rPr>
          <w:rFonts w:hint="eastAsia" w:ascii="仿宋_GB2312" w:hAnsi="仿宋_GB2312" w:eastAsia="仿宋_GB2312" w:cs="仿宋_GB2312"/>
          <w:kern w:val="0"/>
          <w:sz w:val="32"/>
          <w:szCs w:val="32"/>
          <w:lang w:val="en-US" w:eastAsia="zh-CN" w:bidi="ar"/>
        </w:rPr>
        <w:t>文件备案目录，按年份公开规范性文件清理结果，并在已发布的原文件上作出标注。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00" w:lineRule="exact"/>
        <w:ind w:left="0" w:right="0" w:firstLine="643" w:firstLineChars="200"/>
        <w:jc w:val="both"/>
        <w:textAlignment w:val="auto"/>
        <w:rPr>
          <w:rFonts w:hint="eastAsia" w:ascii="仿宋_GB2312" w:eastAsia="仿宋_GB2312"/>
          <w:sz w:val="32"/>
          <w:szCs w:val="32"/>
          <w:lang w:val="en-US" w:eastAsia="zh-CN"/>
        </w:rPr>
      </w:pPr>
      <w:r>
        <w:rPr>
          <w:rFonts w:hint="eastAsia" w:ascii="仿宋_GB2312" w:eastAsia="仿宋_GB2312"/>
          <w:b/>
          <w:bCs/>
          <w:sz w:val="32"/>
          <w:szCs w:val="32"/>
          <w:lang w:val="en-US" w:eastAsia="zh-CN"/>
        </w:rPr>
        <w:drawing>
          <wp:anchor distT="0" distB="0" distL="114300" distR="114300" simplePos="0" relativeHeight="251659264" behindDoc="0" locked="0" layoutInCell="1" allowOverlap="1">
            <wp:simplePos x="0" y="0"/>
            <wp:positionH relativeFrom="column">
              <wp:posOffset>156845</wp:posOffset>
            </wp:positionH>
            <wp:positionV relativeFrom="page">
              <wp:posOffset>1369695</wp:posOffset>
            </wp:positionV>
            <wp:extent cx="2625725" cy="1771650"/>
            <wp:effectExtent l="0" t="0" r="3175" b="635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2625725" cy="1771650"/>
                    </a:xfrm>
                    <a:prstGeom prst="rect">
                      <a:avLst/>
                    </a:prstGeom>
                    <a:noFill/>
                    <a:ln>
                      <a:noFill/>
                    </a:ln>
                  </pic:spPr>
                </pic:pic>
              </a:graphicData>
            </a:graphic>
          </wp:anchor>
        </w:drawing>
      </w:r>
      <w:r>
        <w:rPr>
          <w:rFonts w:hint="eastAsia" w:ascii="仿宋_GB2312" w:eastAsia="仿宋_GB2312"/>
          <w:b/>
          <w:bCs/>
          <w:sz w:val="32"/>
          <w:szCs w:val="32"/>
          <w:lang w:val="en-US" w:eastAsia="zh-CN"/>
        </w:rPr>
        <w:drawing>
          <wp:anchor distT="0" distB="0" distL="114300" distR="114300" simplePos="0" relativeHeight="251662336" behindDoc="0" locked="0" layoutInCell="1" allowOverlap="1">
            <wp:simplePos x="0" y="0"/>
            <wp:positionH relativeFrom="column">
              <wp:posOffset>2915920</wp:posOffset>
            </wp:positionH>
            <wp:positionV relativeFrom="page">
              <wp:posOffset>3221990</wp:posOffset>
            </wp:positionV>
            <wp:extent cx="2482850" cy="1736090"/>
            <wp:effectExtent l="0" t="0" r="6350" b="381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
                    <a:stretch>
                      <a:fillRect/>
                    </a:stretch>
                  </pic:blipFill>
                  <pic:spPr>
                    <a:xfrm>
                      <a:off x="0" y="0"/>
                      <a:ext cx="2482850" cy="1736090"/>
                    </a:xfrm>
                    <a:prstGeom prst="rect">
                      <a:avLst/>
                    </a:prstGeom>
                    <a:noFill/>
                    <a:ln>
                      <a:noFill/>
                    </a:ln>
                  </pic:spPr>
                </pic:pic>
              </a:graphicData>
            </a:graphic>
          </wp:anchor>
        </w:drawing>
      </w:r>
      <w:r>
        <w:rPr>
          <w:rFonts w:hint="eastAsia" w:ascii="仿宋_GB2312" w:eastAsia="仿宋_GB2312"/>
          <w:b/>
          <w:bCs/>
          <w:sz w:val="32"/>
          <w:szCs w:val="32"/>
          <w:lang w:val="en-US" w:eastAsia="zh-CN"/>
        </w:rPr>
        <w:drawing>
          <wp:anchor distT="0" distB="0" distL="114300" distR="114300" simplePos="0" relativeHeight="251661312" behindDoc="0" locked="0" layoutInCell="1" allowOverlap="1">
            <wp:simplePos x="0" y="0"/>
            <wp:positionH relativeFrom="column">
              <wp:posOffset>178435</wp:posOffset>
            </wp:positionH>
            <wp:positionV relativeFrom="page">
              <wp:posOffset>3206750</wp:posOffset>
            </wp:positionV>
            <wp:extent cx="2745740" cy="1824355"/>
            <wp:effectExtent l="0" t="0" r="10160" b="444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2745740" cy="1824355"/>
                    </a:xfrm>
                    <a:prstGeom prst="rect">
                      <a:avLst/>
                    </a:prstGeom>
                    <a:noFill/>
                    <a:ln>
                      <a:noFill/>
                    </a:ln>
                  </pic:spPr>
                </pic:pic>
              </a:graphicData>
            </a:graphic>
          </wp:anchor>
        </w:drawing>
      </w:r>
      <w:r>
        <w:rPr>
          <w:rFonts w:hint="eastAsia" w:ascii="仿宋_GB2312" w:eastAsia="仿宋_GB2312"/>
          <w:b/>
          <w:bCs/>
          <w:sz w:val="32"/>
          <w:szCs w:val="32"/>
          <w:lang w:val="en-US" w:eastAsia="zh-CN"/>
        </w:rPr>
        <w:drawing>
          <wp:anchor distT="0" distB="0" distL="114300" distR="114300" simplePos="0" relativeHeight="251660288" behindDoc="0" locked="0" layoutInCell="1" allowOverlap="1">
            <wp:simplePos x="0" y="0"/>
            <wp:positionH relativeFrom="column">
              <wp:posOffset>2844165</wp:posOffset>
            </wp:positionH>
            <wp:positionV relativeFrom="page">
              <wp:posOffset>1369060</wp:posOffset>
            </wp:positionV>
            <wp:extent cx="2562860" cy="1795145"/>
            <wp:effectExtent l="0" t="0" r="2540" b="825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562860" cy="1795145"/>
                    </a:xfrm>
                    <a:prstGeom prst="rect">
                      <a:avLst/>
                    </a:prstGeom>
                    <a:noFill/>
                    <a:ln>
                      <a:noFill/>
                    </a:ln>
                  </pic:spPr>
                </pic:pic>
              </a:graphicData>
            </a:graphic>
          </wp:anchor>
        </w:drawing>
      </w:r>
      <w:r>
        <w:rPr>
          <w:rFonts w:hint="eastAsia" w:ascii="仿宋_GB2312" w:eastAsia="仿宋_GB2312"/>
          <w:b/>
          <w:bCs/>
          <w:sz w:val="32"/>
          <w:szCs w:val="32"/>
          <w:lang w:val="en-US" w:eastAsia="zh-CN"/>
        </w:rPr>
        <w:t>2、推进管理和服务公开。</w:t>
      </w:r>
      <w:r>
        <w:rPr>
          <w:rFonts w:hint="eastAsia" w:ascii="仿宋_GB2312" w:hAnsi="仿宋_GB2312" w:eastAsia="仿宋_GB2312" w:cs="仿宋_GB2312"/>
          <w:b w:val="0"/>
          <w:bCs w:val="0"/>
          <w:kern w:val="0"/>
          <w:sz w:val="32"/>
          <w:szCs w:val="32"/>
          <w:lang w:val="en-US" w:eastAsia="zh-CN" w:bidi="ar"/>
        </w:rPr>
        <w:t>一</w:t>
      </w:r>
      <w:r>
        <w:rPr>
          <w:rFonts w:hint="eastAsia" w:ascii="仿宋_GB2312" w:eastAsia="仿宋_GB2312"/>
          <w:b w:val="0"/>
          <w:bCs w:val="0"/>
          <w:sz w:val="32"/>
          <w:szCs w:val="32"/>
          <w:lang w:val="en-US" w:eastAsia="zh-CN"/>
        </w:rPr>
        <w:t>是更新完善权责清单。深化简政放权，结合政府机构改革和职能优化，动态调</w:t>
      </w:r>
      <w:r>
        <w:rPr>
          <w:rFonts w:hint="eastAsia" w:ascii="仿宋_GB2312" w:eastAsia="仿宋_GB2312"/>
          <w:sz w:val="32"/>
          <w:szCs w:val="32"/>
          <w:lang w:val="en-US" w:eastAsia="zh-CN"/>
        </w:rPr>
        <w:t>整政府部门权责清单，及时向社会公开，规范和约束行政权力运行。2020年，28个部门公开了权责清单，6月份公开了县级政府部门职责边界清</w:t>
      </w:r>
      <w:r>
        <w:rPr>
          <w:rFonts w:hint="eastAsia" w:ascii="仿宋_GB2312" w:eastAsia="仿宋_GB2312"/>
          <w:b w:val="0"/>
          <w:bCs w:val="0"/>
          <w:sz w:val="32"/>
          <w:szCs w:val="32"/>
          <w:lang w:val="en-US" w:eastAsia="zh-CN"/>
        </w:rPr>
        <w:t>单。二是深化“双随机、一公开”监管。建立“双随机、一公开”专栏，及时、准确、规范向社会</w:t>
      </w:r>
      <w:r>
        <w:rPr>
          <w:rFonts w:hint="eastAsia" w:ascii="仿宋_GB2312" w:eastAsia="仿宋_GB2312"/>
          <w:sz w:val="32"/>
          <w:szCs w:val="32"/>
          <w:lang w:val="en-US" w:eastAsia="zh-CN"/>
        </w:rPr>
        <w:t>公开随机抽查事项、抽查计划、抽查结果和查处结果。全年共发布信息169条。</w:t>
      </w:r>
      <w:r>
        <w:rPr>
          <w:rFonts w:hint="eastAsia" w:ascii="仿宋_GB2312" w:eastAsia="仿宋_GB2312"/>
          <w:b w:val="0"/>
          <w:bCs w:val="0"/>
          <w:sz w:val="32"/>
          <w:szCs w:val="32"/>
          <w:lang w:val="en-US" w:eastAsia="zh-CN"/>
        </w:rPr>
        <w:t>三是强化行政执法信息公开。</w:t>
      </w:r>
      <w:r>
        <w:rPr>
          <w:rFonts w:hint="eastAsia" w:ascii="仿宋_GB2312" w:eastAsia="仿宋_GB2312"/>
          <w:sz w:val="32"/>
          <w:szCs w:val="32"/>
          <w:lang w:val="en-US" w:eastAsia="zh-CN"/>
        </w:rPr>
        <w:t>按照“谁执法谁公示”原则，严格落实行政执法公示制度，规范行政执法行为。建立统一的执法信息公示专栏，集中向社会依法公开行政执法职责、执法依据、执法程序、监督途径和执法结果等信</w:t>
      </w:r>
      <w:r>
        <w:rPr>
          <w:rFonts w:hint="eastAsia" w:ascii="仿宋_GB2312" w:eastAsia="仿宋_GB2312"/>
          <w:b w:val="0"/>
          <w:bCs w:val="0"/>
          <w:sz w:val="32"/>
          <w:szCs w:val="32"/>
          <w:lang w:val="en-US" w:eastAsia="zh-CN"/>
        </w:rPr>
        <w:t>息，包括行政处罚、行政强制等决定。2020年通过行政执法公示栏目发布信息171条。四是进一步优化服务。及时公开减税降费政策，在县政府网站发布</w:t>
      </w:r>
      <w:r>
        <w:rPr>
          <w:rFonts w:hint="eastAsia" w:ascii="仿宋_GB2312" w:eastAsia="仿宋_GB2312"/>
          <w:sz w:val="32"/>
          <w:szCs w:val="32"/>
          <w:lang w:val="en-US" w:eastAsia="zh-CN"/>
        </w:rPr>
        <w:t>县级行政事业性收费目录及依据标准，公开县级政府定价或指导价经营服务性收费清单、政府性基金目录、县级行政许可等事项划转清单、政府服务事项目录和办事指南，在山东政务服务网主动公开行政许可、行政处罚、行政强制和其他对外管理服务事项的依据、条件、程序等。20个部门单位公开发布证明事项实施清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lang w:val="en-US" w:eastAsia="zh-CN"/>
        </w:rPr>
        <w:drawing>
          <wp:anchor distT="0" distB="0" distL="114300" distR="114300" simplePos="0" relativeHeight="251663360" behindDoc="0" locked="0" layoutInCell="1" allowOverlap="1">
            <wp:simplePos x="0" y="0"/>
            <wp:positionH relativeFrom="column">
              <wp:posOffset>2726690</wp:posOffset>
            </wp:positionH>
            <wp:positionV relativeFrom="page">
              <wp:posOffset>4510405</wp:posOffset>
            </wp:positionV>
            <wp:extent cx="2559685" cy="2872105"/>
            <wp:effectExtent l="0" t="0" r="5715" b="10795"/>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8"/>
                    <a:stretch>
                      <a:fillRect/>
                    </a:stretch>
                  </pic:blipFill>
                  <pic:spPr>
                    <a:xfrm>
                      <a:off x="0" y="0"/>
                      <a:ext cx="2559685" cy="2872105"/>
                    </a:xfrm>
                    <a:prstGeom prst="rect">
                      <a:avLst/>
                    </a:prstGeom>
                    <a:noFill/>
                    <a:ln>
                      <a:noFill/>
                    </a:ln>
                  </pic:spPr>
                </pic:pic>
              </a:graphicData>
            </a:graphic>
          </wp:anchor>
        </w:drawing>
      </w:r>
      <w:r>
        <w:rPr>
          <w:rFonts w:hint="eastAsia" w:ascii="仿宋_GB2312" w:eastAsia="仿宋_GB2312"/>
          <w:sz w:val="32"/>
          <w:szCs w:val="32"/>
          <w:lang w:val="en-US" w:eastAsia="zh-CN"/>
        </w:rPr>
        <w:drawing>
          <wp:anchor distT="0" distB="0" distL="114300" distR="114300" simplePos="0" relativeHeight="251664384" behindDoc="0" locked="0" layoutInCell="1" allowOverlap="1">
            <wp:simplePos x="0" y="0"/>
            <wp:positionH relativeFrom="column">
              <wp:posOffset>-3810</wp:posOffset>
            </wp:positionH>
            <wp:positionV relativeFrom="page">
              <wp:posOffset>4518025</wp:posOffset>
            </wp:positionV>
            <wp:extent cx="2692400" cy="2798445"/>
            <wp:effectExtent l="0" t="0" r="0" b="8255"/>
            <wp:wrapTopAndBottom/>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2692400" cy="2798445"/>
                    </a:xfrm>
                    <a:prstGeom prst="rect">
                      <a:avLst/>
                    </a:prstGeom>
                    <a:noFill/>
                    <a:ln>
                      <a:noFill/>
                    </a:ln>
                  </pic:spPr>
                </pic:pic>
              </a:graphicData>
            </a:graphic>
          </wp:anchor>
        </w:drawing>
      </w:r>
      <w:r>
        <w:rPr>
          <w:rFonts w:hint="eastAsia" w:ascii="仿宋_GB2312" w:eastAsia="仿宋_GB2312"/>
          <w:b/>
          <w:bCs/>
          <w:color w:val="000000" w:themeColor="text1"/>
          <w:sz w:val="32"/>
          <w:szCs w:val="32"/>
          <w:lang w:val="en-US" w:eastAsia="zh-CN"/>
          <w14:textFill>
            <w14:solidFill>
              <w14:schemeClr w14:val="tx1"/>
            </w14:solidFill>
          </w14:textFill>
        </w:rPr>
        <w:t>3、推进执行和结果公开。</w:t>
      </w:r>
      <w:r>
        <w:rPr>
          <w:rFonts w:hint="eastAsia" w:ascii="仿宋_GB2312" w:eastAsia="仿宋_GB2312"/>
          <w:b w:val="0"/>
          <w:bCs w:val="0"/>
          <w:color w:val="000000" w:themeColor="text1"/>
          <w:sz w:val="32"/>
          <w:szCs w:val="32"/>
          <w14:textFill>
            <w14:solidFill>
              <w14:schemeClr w14:val="tx1"/>
            </w14:solidFill>
          </w14:textFill>
        </w:rPr>
        <w:t>一是</w:t>
      </w:r>
      <w:r>
        <w:rPr>
          <w:rFonts w:hint="eastAsia" w:ascii="仿宋_GB2312" w:eastAsia="仿宋_GB2312"/>
          <w:b w:val="0"/>
          <w:bCs w:val="0"/>
          <w:color w:val="000000" w:themeColor="text1"/>
          <w:sz w:val="32"/>
          <w:szCs w:val="32"/>
          <w:lang w:val="en-US" w:eastAsia="zh-CN"/>
          <w14:textFill>
            <w14:solidFill>
              <w14:schemeClr w14:val="tx1"/>
            </w14:solidFill>
          </w14:textFill>
        </w:rPr>
        <w:t>做好</w:t>
      </w:r>
      <w:r>
        <w:rPr>
          <w:rFonts w:hint="eastAsia" w:ascii="仿宋_GB2312" w:eastAsia="仿宋_GB2312"/>
          <w:b w:val="0"/>
          <w:bCs w:val="0"/>
          <w:color w:val="000000" w:themeColor="text1"/>
          <w:sz w:val="32"/>
          <w:szCs w:val="32"/>
          <w14:textFill>
            <w14:solidFill>
              <w14:schemeClr w14:val="tx1"/>
            </w14:solidFill>
          </w14:textFill>
        </w:rPr>
        <w:t>重要部署执行公开。围绕政府工作报告、民生实事项目等重大决策部署的执行</w:t>
      </w:r>
      <w:r>
        <w:rPr>
          <w:rFonts w:hint="eastAsia" w:ascii="仿宋_GB2312" w:eastAsia="仿宋_GB2312"/>
          <w:color w:val="000000" w:themeColor="text1"/>
          <w:sz w:val="32"/>
          <w:szCs w:val="32"/>
          <w14:textFill>
            <w14:solidFill>
              <w14:schemeClr w14:val="tx1"/>
            </w14:solidFill>
          </w14:textFill>
        </w:rPr>
        <w:t>和落实情况进行公开。</w:t>
      </w:r>
      <w:r>
        <w:rPr>
          <w:rFonts w:hint="eastAsia" w:ascii="仿宋_GB2312" w:hAnsi="仿宋_GB2312" w:eastAsia="仿宋_GB2312" w:cs="仿宋_GB2312"/>
          <w:kern w:val="0"/>
          <w:sz w:val="32"/>
          <w:szCs w:val="32"/>
          <w:lang w:val="en-US" w:eastAsia="zh-CN" w:bidi="ar"/>
        </w:rPr>
        <w:t>各乡镇（街道、开发区）、各部门</w:t>
      </w:r>
      <w:r>
        <w:rPr>
          <w:rFonts w:hint="eastAsia" w:ascii="仿宋_GB2312" w:eastAsia="仿宋_GB2312"/>
          <w:color w:val="000000" w:themeColor="text1"/>
          <w:sz w:val="32"/>
          <w:szCs w:val="32"/>
          <w:lang w:val="en-US" w:eastAsia="zh-CN"/>
          <w14:textFill>
            <w14:solidFill>
              <w14:schemeClr w14:val="tx1"/>
            </w14:solidFill>
          </w14:textFill>
        </w:rPr>
        <w:t>全年</w:t>
      </w:r>
      <w:r>
        <w:rPr>
          <w:rFonts w:hint="eastAsia" w:ascii="仿宋_GB2312" w:eastAsia="仿宋_GB2312"/>
          <w:color w:val="000000" w:themeColor="text1"/>
          <w:sz w:val="32"/>
          <w:szCs w:val="32"/>
          <w14:textFill>
            <w14:solidFill>
              <w14:schemeClr w14:val="tx1"/>
            </w14:solidFill>
          </w14:textFill>
        </w:rPr>
        <w:t>发布</w:t>
      </w:r>
      <w:r>
        <w:rPr>
          <w:rFonts w:hint="eastAsia" w:ascii="仿宋_GB2312" w:hAnsi="仿宋_GB2312" w:eastAsia="仿宋_GB2312" w:cs="仿宋_GB2312"/>
          <w:kern w:val="0"/>
          <w:sz w:val="32"/>
          <w:szCs w:val="32"/>
          <w:lang w:val="en-US" w:eastAsia="zh-CN" w:bidi="ar"/>
        </w:rPr>
        <w:t>重大决策</w:t>
      </w:r>
      <w:r>
        <w:rPr>
          <w:rFonts w:hint="eastAsia" w:ascii="仿宋_GB2312" w:eastAsia="仿宋_GB2312"/>
          <w:color w:val="000000" w:themeColor="text1"/>
          <w:sz w:val="32"/>
          <w:szCs w:val="32"/>
          <w:lang w:val="en-US" w:eastAsia="zh-CN"/>
          <w14:textFill>
            <w14:solidFill>
              <w14:schemeClr w14:val="tx1"/>
            </w14:solidFill>
          </w14:textFill>
        </w:rPr>
        <w:t>执行和</w:t>
      </w:r>
      <w:r>
        <w:rPr>
          <w:rFonts w:hint="eastAsia" w:ascii="仿宋_GB2312" w:eastAsia="仿宋_GB2312"/>
          <w:color w:val="000000" w:themeColor="text1"/>
          <w:sz w:val="32"/>
          <w:szCs w:val="32"/>
          <w14:textFill>
            <w14:solidFill>
              <w14:schemeClr w14:val="tx1"/>
            </w14:solidFill>
          </w14:textFill>
        </w:rPr>
        <w:t>落实情况信息</w:t>
      </w:r>
      <w:r>
        <w:rPr>
          <w:rFonts w:hint="eastAsia" w:ascii="仿宋_GB2312" w:eastAsia="仿宋_GB2312"/>
          <w:color w:val="000000" w:themeColor="text1"/>
          <w:sz w:val="32"/>
          <w:szCs w:val="32"/>
          <w:lang w:val="en-US" w:eastAsia="zh-CN"/>
          <w14:textFill>
            <w14:solidFill>
              <w14:schemeClr w14:val="tx1"/>
            </w14:solidFill>
          </w14:textFill>
        </w:rPr>
        <w:t>112</w:t>
      </w:r>
      <w:r>
        <w:rPr>
          <w:rFonts w:hint="eastAsia" w:ascii="仿宋_GB2312" w:eastAsia="仿宋_GB2312"/>
          <w:color w:val="000000" w:themeColor="text1"/>
          <w:sz w:val="32"/>
          <w:szCs w:val="32"/>
          <w14:textFill>
            <w14:solidFill>
              <w14:schemeClr w14:val="tx1"/>
            </w14:solidFill>
          </w14:textFill>
        </w:rPr>
        <w:t>条。</w:t>
      </w:r>
      <w:r>
        <w:rPr>
          <w:rFonts w:hint="eastAsia" w:ascii="仿宋_GB2312" w:eastAsia="仿宋_GB2312"/>
          <w:b/>
          <w:bCs/>
          <w:color w:val="000000" w:themeColor="text1"/>
          <w:sz w:val="32"/>
          <w:szCs w:val="32"/>
          <w:lang w:val="en-US" w:eastAsia="zh-CN"/>
          <w14:textFill>
            <w14:solidFill>
              <w14:schemeClr w14:val="tx1"/>
            </w14:solidFill>
          </w14:textFill>
        </w:rPr>
        <w:t>二</w:t>
      </w:r>
      <w:r>
        <w:rPr>
          <w:rFonts w:hint="eastAsia" w:ascii="仿宋_GB2312" w:eastAsia="仿宋_GB2312"/>
          <w:b w:val="0"/>
          <w:bCs w:val="0"/>
          <w:color w:val="000000" w:themeColor="text1"/>
          <w:sz w:val="32"/>
          <w:szCs w:val="32"/>
          <w:lang w:val="en-US" w:eastAsia="zh-CN"/>
          <w14:textFill>
            <w14:solidFill>
              <w14:schemeClr w14:val="tx1"/>
            </w14:solidFill>
          </w14:textFill>
        </w:rPr>
        <w:t>是做好督查和审计发现问题及整改落实情况的公开。</w:t>
      </w:r>
      <w:r>
        <w:rPr>
          <w:rFonts w:hint="eastAsia" w:ascii="仿宋_GB2312" w:eastAsia="仿宋_GB2312"/>
          <w:b w:val="0"/>
          <w:bCs w:val="0"/>
          <w:color w:val="000000" w:themeColor="text1"/>
          <w:sz w:val="32"/>
          <w:szCs w:val="32"/>
          <w14:textFill>
            <w14:solidFill>
              <w14:schemeClr w14:val="tx1"/>
            </w14:solidFill>
          </w14:textFill>
        </w:rPr>
        <w:t>及时公开年</w:t>
      </w:r>
      <w:r>
        <w:rPr>
          <w:rFonts w:hint="eastAsia" w:ascii="仿宋_GB2312" w:eastAsia="仿宋_GB2312"/>
          <w:color w:val="000000" w:themeColor="text1"/>
          <w:sz w:val="32"/>
          <w:szCs w:val="32"/>
          <w14:textFill>
            <w14:solidFill>
              <w14:schemeClr w14:val="tx1"/>
            </w14:solidFill>
          </w14:textFill>
        </w:rPr>
        <w:t>度审计工作报告</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审计整改报告</w:t>
      </w:r>
      <w:r>
        <w:rPr>
          <w:rFonts w:hint="eastAsia" w:ascii="仿宋_GB2312" w:eastAsia="仿宋_GB2312"/>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kern w:val="0"/>
          <w:sz w:val="32"/>
          <w:szCs w:val="32"/>
          <w:lang w:val="en-US" w:eastAsia="zh-CN" w:bidi="ar"/>
        </w:rPr>
        <w:t>督查和审计发现问题及整改落实情况</w:t>
      </w:r>
      <w:r>
        <w:rPr>
          <w:rFonts w:hint="eastAsia" w:ascii="仿宋_GB2312" w:eastAsia="仿宋_GB2312"/>
          <w:color w:val="000000" w:themeColor="text1"/>
          <w:sz w:val="32"/>
          <w:szCs w:val="32"/>
          <w14:textFill>
            <w14:solidFill>
              <w14:schemeClr w14:val="tx1"/>
            </w14:solidFill>
          </w14:textFill>
        </w:rPr>
        <w:t>，以公开倒逼整改，推进政策落实到位。20</w:t>
      </w:r>
      <w:r>
        <w:rPr>
          <w:rFonts w:hint="eastAsia" w:ascii="仿宋_GB2312" w:eastAsia="仿宋_GB2312"/>
          <w:color w:val="000000" w:themeColor="text1"/>
          <w:sz w:val="32"/>
          <w:szCs w:val="32"/>
          <w:lang w:val="en-US" w:eastAsia="zh-CN"/>
          <w14:textFill>
            <w14:solidFill>
              <w14:schemeClr w14:val="tx1"/>
            </w14:solidFill>
          </w14:textFill>
        </w:rPr>
        <w:t>20</w:t>
      </w:r>
      <w:r>
        <w:rPr>
          <w:rFonts w:hint="eastAsia" w:ascii="仿宋_GB2312" w:eastAsia="仿宋_GB2312"/>
          <w:color w:val="000000" w:themeColor="text1"/>
          <w:sz w:val="32"/>
          <w:szCs w:val="32"/>
          <w14:textFill>
            <w14:solidFill>
              <w14:schemeClr w14:val="tx1"/>
            </w14:solidFill>
          </w14:textFill>
        </w:rPr>
        <w:t>年公开审计相关信息</w:t>
      </w:r>
      <w:r>
        <w:rPr>
          <w:rFonts w:hint="eastAsia" w:ascii="仿宋_GB2312" w:eastAsia="仿宋_GB2312"/>
          <w:color w:val="000000" w:themeColor="text1"/>
          <w:sz w:val="32"/>
          <w:szCs w:val="32"/>
          <w:lang w:val="en-US" w:eastAsia="zh-CN"/>
          <w14:textFill>
            <w14:solidFill>
              <w14:schemeClr w14:val="tx1"/>
            </w14:solidFill>
          </w14:textFill>
        </w:rPr>
        <w:t>108</w:t>
      </w:r>
      <w:r>
        <w:rPr>
          <w:rFonts w:hint="eastAsia" w:ascii="仿宋_GB2312" w:eastAsia="仿宋_GB2312"/>
          <w:color w:val="000000" w:themeColor="text1"/>
          <w:sz w:val="32"/>
          <w:szCs w:val="32"/>
          <w14:textFill>
            <w14:solidFill>
              <w14:schemeClr w14:val="tx1"/>
            </w14:solidFill>
          </w14:textFill>
        </w:rPr>
        <w:t>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pPr>
      <w:r>
        <w:rPr>
          <w:rFonts w:hint="eastAsia" w:ascii="仿宋_GB2312" w:eastAsia="仿宋_GB2312"/>
          <w:b/>
          <w:bCs/>
          <w:sz w:val="32"/>
          <w:szCs w:val="32"/>
          <w:lang w:val="en-US" w:eastAsia="zh-CN"/>
        </w:rPr>
        <w:drawing>
          <wp:anchor distT="0" distB="0" distL="114300" distR="114300" simplePos="0" relativeHeight="251665408" behindDoc="0" locked="0" layoutInCell="1" allowOverlap="1">
            <wp:simplePos x="0" y="0"/>
            <wp:positionH relativeFrom="column">
              <wp:posOffset>2870835</wp:posOffset>
            </wp:positionH>
            <wp:positionV relativeFrom="paragraph">
              <wp:posOffset>521335</wp:posOffset>
            </wp:positionV>
            <wp:extent cx="2467610" cy="3228340"/>
            <wp:effectExtent l="0" t="0" r="8890" b="1016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2467610" cy="3228340"/>
                    </a:xfrm>
                    <a:prstGeom prst="rect">
                      <a:avLst/>
                    </a:prstGeom>
                    <a:noFill/>
                    <a:ln>
                      <a:noFill/>
                    </a:ln>
                  </pic:spPr>
                </pic:pic>
              </a:graphicData>
            </a:graphic>
          </wp:anchor>
        </w:drawing>
      </w:r>
      <w:r>
        <w:rPr>
          <w:rFonts w:hint="eastAsia" w:ascii="仿宋_GB2312" w:eastAsia="仿宋_GB2312"/>
          <w:b/>
          <w:bCs/>
          <w:sz w:val="32"/>
          <w:szCs w:val="32"/>
          <w:lang w:val="en-US" w:eastAsia="zh-CN"/>
        </w:rPr>
        <w:t>4、推进财政信息公开。</w:t>
      </w:r>
      <w:r>
        <w:rPr>
          <w:rFonts w:hint="eastAsia" w:ascii="仿宋_GB2312" w:eastAsia="仿宋_GB2312"/>
          <w:sz w:val="32"/>
          <w:szCs w:val="32"/>
          <w:lang w:val="en-US" w:eastAsia="zh-CN"/>
        </w:rPr>
        <w:t>利用财政预决算信息公开统一平台，对县政府预决算（含“三公”经费）和县直部门预决算信息进行集中发布。按月公开财政收支信息，定期公开债务限额、余额、债务率、偿债率以及经济财政状况、债券发行、存续期管理等信息，</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合理引导投资预期，接受社会各界监督。2020年共发布财政类相关信息529条。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pPr>
      <w:r>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drawing>
          <wp:anchor distT="0" distB="0" distL="114300" distR="114300" simplePos="0" relativeHeight="251666432" behindDoc="0" locked="0" layoutInCell="1" allowOverlap="1">
            <wp:simplePos x="0" y="0"/>
            <wp:positionH relativeFrom="column">
              <wp:posOffset>2874010</wp:posOffset>
            </wp:positionH>
            <wp:positionV relativeFrom="page">
              <wp:posOffset>6423025</wp:posOffset>
            </wp:positionV>
            <wp:extent cx="2464435" cy="3286125"/>
            <wp:effectExtent l="0" t="0" r="12065" b="317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2464435" cy="3286125"/>
                    </a:xfrm>
                    <a:prstGeom prst="rect">
                      <a:avLst/>
                    </a:prstGeom>
                    <a:noFill/>
                    <a:ln>
                      <a:noFill/>
                    </a:ln>
                  </pic:spPr>
                </pic:pic>
              </a:graphicData>
            </a:graphic>
          </wp:anchor>
        </w:drawing>
      </w:r>
      <w:r>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t>5、推进重大建设项目和公共资源配置领域信息公开。</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通过政府门户网站发布2020年重大建设项目目录，做好批</w:t>
      </w:r>
      <w:r>
        <w:rPr>
          <w:rFonts w:hint="eastAsia" w:ascii="仿宋_GB2312" w:eastAsia="仿宋_GB2312"/>
          <w:sz w:val="32"/>
          <w:szCs w:val="32"/>
          <w:lang w:val="en-US" w:eastAsia="zh-CN"/>
        </w:rPr>
        <w:t>准服务、批准结果、招投标、征收土地、重大设计变更、施工、质量安全监督、竣</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工等信息公开工作。全</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县</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围绕重大</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建设</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项目向社会公开了项目信息</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6</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0</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余</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条。</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提升</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政府采购信息公开透明度，按规定公开</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政府集中采购项目目录标准，</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采购公告、信息更正公告、中标（成交）公告、采购合同公告、验收结果公告等内容。</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县政府网站与全国公共资源交易平台</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对接，推动实现公共资源交易全流程透明化。</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同时，分别在县政府网站、山东省征地信息公开查询系统公开房屋征收和土地征收信息。</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pPr>
      <w:r>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t>6、推进重点民生与公益事业信息公开。</w:t>
      </w:r>
      <w:r>
        <w:rPr>
          <w:rFonts w:hint="eastAsia" w:ascii="仿宋_GB2312" w:hAnsi="Times New Roman" w:eastAsia="仿宋_GB2312" w:cs="Times New Roman"/>
          <w:b w:val="0"/>
          <w:bCs/>
          <w:color w:val="000000" w:themeColor="text1"/>
          <w:kern w:val="2"/>
          <w:sz w:val="32"/>
          <w:szCs w:val="32"/>
          <w:lang w:val="en-US" w:eastAsia="zh-CN" w:bidi="ar-SA"/>
          <w14:textFill>
            <w14:solidFill>
              <w14:schemeClr w14:val="tx1"/>
            </w14:solidFill>
          </w14:textFill>
        </w:rPr>
        <w:t>一是做好扶贫领域信息公开。围绕脱贫攻</w:t>
      </w:r>
      <w:r>
        <w:rPr>
          <w:rFonts w:hint="eastAsia" w:ascii="仿宋_GB2312" w:eastAsia="仿宋_GB2312"/>
          <w:b w:val="0"/>
          <w:bCs/>
          <w:sz w:val="32"/>
          <w:szCs w:val="32"/>
          <w:lang w:val="en-US" w:eastAsia="zh-CN"/>
        </w:rPr>
        <w:t>坚政策措施落实、项目资金安排实施和完成情况、项目实施情况等重点领域和关键环节，加大政府信</w:t>
      </w:r>
      <w:r>
        <w:rPr>
          <w:rFonts w:hint="eastAsia" w:ascii="仿宋_GB2312" w:hAnsi="Times New Roman" w:eastAsia="仿宋_GB2312" w:cs="Times New Roman"/>
          <w:b w:val="0"/>
          <w:bCs/>
          <w:color w:val="000000" w:themeColor="text1"/>
          <w:kern w:val="2"/>
          <w:sz w:val="32"/>
          <w:szCs w:val="32"/>
          <w:lang w:val="en-US" w:eastAsia="zh-CN" w:bidi="ar-SA"/>
          <w14:textFill>
            <w14:solidFill>
              <w14:schemeClr w14:val="tx1"/>
            </w14:solidFill>
          </w14:textFill>
        </w:rPr>
        <w:t>息公开力度。全年共计公开信息167条。二是做好社会救助与社会福利信息公开。围绕城乡低保、特困人员救助供养、医疗救助、临时救助、老年人福利、残疾人福利、儿童福利</w:t>
      </w:r>
      <w:r>
        <w:rPr>
          <w:rFonts w:hint="eastAsia" w:ascii="仿宋_GB2312" w:eastAsia="仿宋_GB2312" w:cs="Times New Roman"/>
          <w:b w:val="0"/>
          <w:bCs/>
          <w:color w:val="000000" w:themeColor="text1"/>
          <w:kern w:val="2"/>
          <w:sz w:val="32"/>
          <w:szCs w:val="32"/>
          <w:lang w:val="en-US" w:eastAsia="zh-CN" w:bidi="ar-SA"/>
          <w14:textFill>
            <w14:solidFill>
              <w14:schemeClr w14:val="tx1"/>
            </w14:solidFill>
          </w14:textFill>
        </w:rPr>
        <w:t>等做好</w:t>
      </w:r>
      <w:r>
        <w:rPr>
          <w:rFonts w:hint="eastAsia" w:ascii="仿宋_GB2312" w:hAnsi="Times New Roman" w:eastAsia="仿宋_GB2312" w:cs="Times New Roman"/>
          <w:b w:val="0"/>
          <w:bCs/>
          <w:color w:val="000000" w:themeColor="text1"/>
          <w:kern w:val="2"/>
          <w:sz w:val="32"/>
          <w:szCs w:val="32"/>
          <w:lang w:val="en-US" w:eastAsia="zh-CN" w:bidi="ar-SA"/>
          <w14:textFill>
            <w14:solidFill>
              <w14:schemeClr w14:val="tx1"/>
            </w14:solidFill>
          </w14:textFill>
        </w:rPr>
        <w:t>相关政策、执行情况和实际效果等信息发布。2020年公开社会救助和社会福利类信息</w:t>
      </w:r>
      <w:r>
        <w:rPr>
          <w:rFonts w:hint="eastAsia" w:ascii="仿宋_GB2312" w:eastAsia="仿宋_GB2312" w:cs="Times New Roman"/>
          <w:b w:val="0"/>
          <w:bCs/>
          <w:color w:val="000000" w:themeColor="text1"/>
          <w:kern w:val="2"/>
          <w:sz w:val="32"/>
          <w:szCs w:val="32"/>
          <w:lang w:val="en-US" w:eastAsia="zh-CN" w:bidi="ar-SA"/>
          <w14:textFill>
            <w14:solidFill>
              <w14:schemeClr w14:val="tx1"/>
            </w14:solidFill>
          </w14:textFill>
        </w:rPr>
        <w:t>141</w:t>
      </w:r>
      <w:r>
        <w:rPr>
          <w:rFonts w:hint="eastAsia" w:ascii="仿宋_GB2312" w:hAnsi="Times New Roman" w:eastAsia="仿宋_GB2312" w:cs="Times New Roman"/>
          <w:b w:val="0"/>
          <w:bCs/>
          <w:color w:val="000000" w:themeColor="text1"/>
          <w:kern w:val="2"/>
          <w:sz w:val="32"/>
          <w:szCs w:val="32"/>
          <w:lang w:val="en-US" w:eastAsia="zh-CN" w:bidi="ar-SA"/>
          <w14:textFill>
            <w14:solidFill>
              <w14:schemeClr w14:val="tx1"/>
            </w14:solidFill>
          </w14:textFill>
        </w:rPr>
        <w:t>条。三是</w:t>
      </w:r>
      <w:r>
        <w:rPr>
          <w:rFonts w:hint="eastAsia" w:ascii="仿宋_GB2312" w:eastAsia="仿宋_GB2312"/>
          <w:b w:val="0"/>
          <w:bCs/>
          <w:sz w:val="32"/>
          <w:szCs w:val="32"/>
          <w:lang w:val="en-US" w:eastAsia="zh-CN"/>
        </w:rPr>
        <w:t>做好</w:t>
      </w:r>
      <w:r>
        <w:rPr>
          <w:rFonts w:hint="eastAsia" w:ascii="仿宋_GB2312" w:eastAsia="仿宋_GB2312"/>
          <w:b w:val="0"/>
          <w:bCs/>
          <w:sz w:val="32"/>
          <w:szCs w:val="32"/>
        </w:rPr>
        <w:t>教育、医疗卫生领域信息公开</w:t>
      </w:r>
      <w:r>
        <w:rPr>
          <w:rFonts w:hint="eastAsia" w:ascii="仿宋_GB2312" w:eastAsia="仿宋_GB2312"/>
          <w:b w:val="0"/>
          <w:bCs/>
          <w:sz w:val="32"/>
          <w:szCs w:val="32"/>
          <w:lang w:eastAsia="zh-CN"/>
        </w:rPr>
        <w:t>。公开义务教育阶段招生范围、招生条件、学校情况、招生结果等信息的公开工作，</w:t>
      </w:r>
      <w:r>
        <w:rPr>
          <w:rFonts w:hint="eastAsia" w:ascii="仿宋_GB2312" w:eastAsia="仿宋_GB2312"/>
          <w:b w:val="0"/>
          <w:bCs/>
          <w:sz w:val="32"/>
          <w:szCs w:val="32"/>
          <w:lang w:val="en-US" w:eastAsia="zh-CN"/>
        </w:rPr>
        <w:t>通过事前论证、事中公开、事后释疑</w:t>
      </w:r>
      <w:r>
        <w:rPr>
          <w:rFonts w:hint="eastAsia" w:ascii="仿宋_GB2312" w:hAnsi="仿宋_GB2312" w:eastAsia="仿宋_GB2312" w:cs="仿宋_GB2312"/>
          <w:sz w:val="32"/>
          <w:szCs w:val="32"/>
          <w:lang w:eastAsia="zh-CN"/>
        </w:rPr>
        <w:t>，保障招生公开公平</w:t>
      </w:r>
      <w:r>
        <w:rPr>
          <w:rFonts w:hint="eastAsia" w:ascii="仿宋_GB2312" w:eastAsia="仿宋_GB2312"/>
          <w:b w:val="0"/>
          <w:bCs/>
          <w:sz w:val="32"/>
          <w:szCs w:val="32"/>
          <w:lang w:eastAsia="zh-CN"/>
        </w:rPr>
        <w:t>。围绕医疗卫生健康工作重点领</w:t>
      </w:r>
      <w:r>
        <w:rPr>
          <w:rFonts w:hint="eastAsia" w:ascii="仿宋_GB2312" w:eastAsia="仿宋_GB2312"/>
          <w:sz w:val="32"/>
          <w:szCs w:val="32"/>
          <w:lang w:eastAsia="zh-CN"/>
        </w:rPr>
        <w:t>域</w:t>
      </w:r>
      <w:r>
        <w:rPr>
          <w:rFonts w:hint="eastAsia" w:ascii="仿宋_GB2312" w:eastAsia="仿宋_GB2312"/>
          <w:sz w:val="32"/>
          <w:szCs w:val="32"/>
          <w:lang w:val="en-US" w:eastAsia="zh-CN"/>
        </w:rPr>
        <w:t>，加大医疗政策、医疗机构、医疗价格及医疗服务、公共卫生监管检查等方面</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信息公开力度</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，对群众比较关注的医疗机构和医保定点医药机构名单，及时公开发布</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设置新冠肺炎疫情防控专栏，公开重要政策、通知公告和防疫服务等信息。</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继续推进医疗机构院务公开，指导医疗机构完善医疗服务信息公示制度</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，公开机构设置、办事指南、便民服务电话、医疗服务、医院环境等信息</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。2020年通过县政府网站公开教育、医疗卫生类信息</w:t>
      </w:r>
      <w:r>
        <w:rPr>
          <w:rFonts w:hint="eastAsia" w:ascii="仿宋_GB2312" w:eastAsia="仿宋_GB2312" w:cs="Times New Roman"/>
          <w:b w:val="0"/>
          <w:color w:val="000000" w:themeColor="text1"/>
          <w:kern w:val="2"/>
          <w:sz w:val="32"/>
          <w:szCs w:val="32"/>
          <w:lang w:val="en-US" w:eastAsia="zh-CN" w:bidi="ar-SA"/>
          <w14:textFill>
            <w14:solidFill>
              <w14:schemeClr w14:val="tx1"/>
            </w14:solidFill>
          </w14:textFill>
        </w:rPr>
        <w:t>200余</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条。</w:t>
      </w:r>
      <w:r>
        <w:rPr>
          <w:rFonts w:hint="eastAsia" w:ascii="仿宋_GB2312" w:eastAsia="仿宋_GB2312"/>
          <w:b w:val="0"/>
          <w:bCs w:val="0"/>
          <w:color w:val="000000" w:themeColor="text1"/>
          <w:spacing w:val="24"/>
          <w:sz w:val="32"/>
          <w:szCs w:val="32"/>
          <w14:textFill>
            <w14:solidFill>
              <w14:schemeClr w14:val="tx1"/>
            </w14:solidFill>
          </w14:textFill>
        </w:rPr>
        <w:t>四是</w:t>
      </w:r>
      <w:r>
        <w:rPr>
          <w:rFonts w:hint="eastAsia" w:ascii="仿宋_GB2312" w:eastAsia="仿宋_GB2312"/>
          <w:b w:val="0"/>
          <w:bCs w:val="0"/>
          <w:color w:val="000000" w:themeColor="text1"/>
          <w:spacing w:val="24"/>
          <w:sz w:val="32"/>
          <w:szCs w:val="32"/>
          <w:lang w:val="en-US" w:eastAsia="zh-CN"/>
          <w14:textFill>
            <w14:solidFill>
              <w14:schemeClr w14:val="tx1"/>
            </w14:solidFill>
          </w14:textFill>
        </w:rPr>
        <w:t>做好环境保护</w:t>
      </w:r>
      <w:r>
        <w:rPr>
          <w:rFonts w:hint="eastAsia" w:ascii="仿宋_GB2312" w:eastAsia="仿宋_GB2312"/>
          <w:b w:val="0"/>
          <w:bCs w:val="0"/>
          <w:color w:val="000000" w:themeColor="text1"/>
          <w:spacing w:val="24"/>
          <w:sz w:val="32"/>
          <w:szCs w:val="32"/>
          <w14:textFill>
            <w14:solidFill>
              <w14:schemeClr w14:val="tx1"/>
            </w14:solidFill>
          </w14:textFill>
        </w:rPr>
        <w:t>领域信息公开。</w:t>
      </w:r>
      <w:r>
        <w:rPr>
          <w:rFonts w:hint="eastAsia" w:ascii="仿宋_GB2312" w:hAnsi="Times New Roman" w:eastAsia="仿宋_GB2312" w:cs="Times New Roman"/>
          <w:b w:val="0"/>
          <w:bCs w:val="0"/>
          <w:color w:val="000000" w:themeColor="text1"/>
          <w:kern w:val="2"/>
          <w:sz w:val="32"/>
          <w:szCs w:val="32"/>
          <w:lang w:val="en-US" w:eastAsia="zh-CN" w:bidi="ar-SA"/>
          <w14:textFill>
            <w14:solidFill>
              <w14:schemeClr w14:val="tx1"/>
            </w14:solidFill>
          </w14:textFill>
        </w:rPr>
        <w:t>按月发布全县环境空气质量状况，</w:t>
      </w:r>
      <w:r>
        <w:rPr>
          <w:rFonts w:hint="eastAsia" w:ascii="仿宋_GB2312" w:eastAsia="仿宋_GB2312" w:cs="Times New Roman"/>
          <w:b w:val="0"/>
          <w:bCs w:val="0"/>
          <w:color w:val="000000" w:themeColor="text1"/>
          <w:kern w:val="2"/>
          <w:sz w:val="32"/>
          <w:szCs w:val="32"/>
          <w:lang w:val="en-US" w:eastAsia="zh-CN" w:bidi="ar-SA"/>
          <w14:textFill>
            <w14:solidFill>
              <w14:schemeClr w14:val="tx1"/>
            </w14:solidFill>
          </w14:textFill>
        </w:rPr>
        <w:t>按</w:t>
      </w:r>
      <w:r>
        <w:rPr>
          <w:rFonts w:hint="eastAsia" w:ascii="仿宋_GB2312" w:hAnsi="Times New Roman" w:eastAsia="仿宋_GB2312" w:cs="Times New Roman"/>
          <w:b w:val="0"/>
          <w:bCs w:val="0"/>
          <w:color w:val="000000" w:themeColor="text1"/>
          <w:kern w:val="2"/>
          <w:sz w:val="32"/>
          <w:szCs w:val="32"/>
          <w:lang w:val="en-US" w:eastAsia="zh-CN" w:bidi="ar-SA"/>
          <w14:textFill>
            <w14:solidFill>
              <w14:schemeClr w14:val="tx1"/>
            </w14:solidFill>
          </w14:textFill>
        </w:rPr>
        <w:t>季度向社会公开饮用水水源、供水厂出水、用户水龙头水质等饮水安全状况，公布环境监督检查、排污企</w:t>
      </w:r>
      <w:r>
        <w:rPr>
          <w:rFonts w:hint="eastAsia" w:ascii="仿宋_GB2312" w:hAnsi="Times New Roman" w:eastAsia="仿宋_GB2312" w:cs="Times New Roman"/>
          <w:b w:val="0"/>
          <w:color w:val="000000" w:themeColor="text1"/>
          <w:kern w:val="2"/>
          <w:sz w:val="32"/>
          <w:szCs w:val="32"/>
          <w:lang w:val="en-US" w:eastAsia="zh-CN" w:bidi="ar-SA"/>
          <w14:textFill>
            <w14:solidFill>
              <w14:schemeClr w14:val="tx1"/>
            </w14:solidFill>
          </w14:textFill>
        </w:rPr>
        <w:t>业等环境信息。全年共计公开信息156条。</w:t>
      </w:r>
    </w:p>
    <w:p>
      <w:pPr>
        <w:pStyle w:val="2"/>
        <w:ind w:left="0" w:leftChars="0" w:firstLine="0" w:firstLineChars="0"/>
        <w:jc w:val="left"/>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pPr>
      <w:r>
        <w:rPr>
          <w:b w:val="0"/>
          <w:bCs/>
        </w:rPr>
        <w:drawing>
          <wp:anchor distT="0" distB="0" distL="114300" distR="114300" simplePos="0" relativeHeight="251667456" behindDoc="0" locked="0" layoutInCell="1" allowOverlap="1">
            <wp:simplePos x="0" y="0"/>
            <wp:positionH relativeFrom="column">
              <wp:posOffset>26035</wp:posOffset>
            </wp:positionH>
            <wp:positionV relativeFrom="page">
              <wp:posOffset>3769360</wp:posOffset>
            </wp:positionV>
            <wp:extent cx="5234305" cy="2555875"/>
            <wp:effectExtent l="4445" t="4445" r="6350" b="5080"/>
            <wp:wrapTopAndBottom/>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lang w:val="en-US" w:eastAsia="zh-CN"/>
        </w:rPr>
        <w:t xml:space="preserve"> </w:t>
      </w:r>
      <w:r>
        <w:drawing>
          <wp:inline distT="0" distB="0" distL="114300" distR="114300">
            <wp:extent cx="2530475" cy="1739265"/>
            <wp:effectExtent l="0" t="0" r="952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530475" cy="1739265"/>
                    </a:xfrm>
                    <a:prstGeom prst="rect">
                      <a:avLst/>
                    </a:prstGeom>
                    <a:noFill/>
                    <a:ln>
                      <a:noFill/>
                    </a:ln>
                  </pic:spPr>
                </pic:pic>
              </a:graphicData>
            </a:graphic>
          </wp:inline>
        </w:drawing>
      </w:r>
      <w:r>
        <w:drawing>
          <wp:inline distT="0" distB="0" distL="114300" distR="114300">
            <wp:extent cx="2600960" cy="1758315"/>
            <wp:effectExtent l="0" t="0" r="254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2600960" cy="1758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964" w:firstLineChars="300"/>
        <w:textAlignment w:val="auto"/>
        <w:rPr>
          <w:rFonts w:hint="default" w:ascii="仿宋_GB2312" w:eastAsia="仿宋_GB2312"/>
          <w:b w:val="0"/>
          <w:bCs w:val="0"/>
          <w:sz w:val="32"/>
          <w:szCs w:val="32"/>
          <w:lang w:val="en-US" w:eastAsia="zh-CN"/>
        </w:rPr>
      </w:pPr>
      <w:r>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t>7、推进公共监管信息公开。</w:t>
      </w:r>
      <w:r>
        <w:rPr>
          <w:rFonts w:hint="eastAsia" w:ascii="仿宋_GB2312" w:eastAsia="仿宋_GB2312"/>
          <w:b w:val="0"/>
          <w:bCs w:val="0"/>
          <w:color w:val="000000" w:themeColor="text1"/>
          <w:sz w:val="32"/>
          <w:szCs w:val="32"/>
          <w:lang w:val="en-US" w:eastAsia="zh-CN"/>
          <w14:textFill>
            <w14:solidFill>
              <w14:schemeClr w14:val="tx1"/>
            </w14:solidFill>
          </w14:textFill>
        </w:rPr>
        <w:t>一是做好</w:t>
      </w:r>
      <w:r>
        <w:rPr>
          <w:rFonts w:hint="eastAsia" w:ascii="仿宋_GB2312" w:eastAsia="仿宋_GB2312"/>
          <w:b w:val="0"/>
          <w:bCs w:val="0"/>
          <w:color w:val="000000" w:themeColor="text1"/>
          <w:sz w:val="32"/>
          <w:szCs w:val="32"/>
          <w14:textFill>
            <w14:solidFill>
              <w14:schemeClr w14:val="tx1"/>
            </w14:solidFill>
          </w14:textFill>
        </w:rPr>
        <w:t>国资国企信息公开。依法依规向社会公开</w:t>
      </w:r>
      <w:r>
        <w:rPr>
          <w:rFonts w:hint="eastAsia" w:ascii="仿宋_GB2312" w:eastAsia="仿宋_GB2312"/>
          <w:b w:val="0"/>
          <w:bCs w:val="0"/>
          <w:color w:val="000000" w:themeColor="text1"/>
          <w:sz w:val="32"/>
          <w:szCs w:val="32"/>
          <w:lang w:val="en-US" w:eastAsia="zh-CN"/>
          <w14:textFill>
            <w14:solidFill>
              <w14:schemeClr w14:val="tx1"/>
            </w14:solidFill>
          </w14:textFill>
        </w:rPr>
        <w:t>国有企业经营</w:t>
      </w:r>
      <w:r>
        <w:rPr>
          <w:rFonts w:hint="eastAsia" w:ascii="仿宋_GB2312" w:eastAsia="仿宋_GB2312"/>
          <w:b w:val="0"/>
          <w:bCs w:val="0"/>
          <w:color w:val="000000" w:themeColor="text1"/>
          <w:sz w:val="32"/>
          <w:szCs w:val="32"/>
          <w14:textFill>
            <w14:solidFill>
              <w14:schemeClr w14:val="tx1"/>
            </w14:solidFill>
          </w14:textFill>
        </w:rPr>
        <w:t>情况、业绩考核情况情况以及监管企</w:t>
      </w:r>
      <w:r>
        <w:rPr>
          <w:rFonts w:hint="eastAsia" w:ascii="仿宋_GB2312" w:eastAsia="仿宋_GB2312"/>
          <w:b w:val="0"/>
          <w:bCs w:val="0"/>
          <w:sz w:val="32"/>
          <w:szCs w:val="32"/>
        </w:rPr>
        <w:t>业履行社会责任重点工作等情况。全年通过</w:t>
      </w:r>
      <w:r>
        <w:rPr>
          <w:rFonts w:hint="eastAsia" w:ascii="仿宋_GB2312" w:eastAsia="仿宋_GB2312"/>
          <w:b w:val="0"/>
          <w:bCs w:val="0"/>
          <w:sz w:val="32"/>
          <w:szCs w:val="32"/>
          <w:lang w:val="en-US" w:eastAsia="zh-CN"/>
        </w:rPr>
        <w:t>县</w:t>
      </w:r>
      <w:r>
        <w:rPr>
          <w:rFonts w:hint="eastAsia" w:ascii="仿宋_GB2312" w:eastAsia="仿宋_GB2312"/>
          <w:b w:val="0"/>
          <w:bCs w:val="0"/>
          <w:sz w:val="32"/>
          <w:szCs w:val="32"/>
        </w:rPr>
        <w:t>政府网站公开相关信息</w:t>
      </w:r>
      <w:r>
        <w:rPr>
          <w:rFonts w:hint="eastAsia" w:ascii="仿宋_GB2312" w:eastAsia="仿宋_GB2312"/>
          <w:b w:val="0"/>
          <w:bCs w:val="0"/>
          <w:sz w:val="32"/>
          <w:szCs w:val="32"/>
          <w:lang w:val="en-US" w:eastAsia="zh-CN"/>
        </w:rPr>
        <w:t>42</w:t>
      </w:r>
      <w:r>
        <w:rPr>
          <w:rFonts w:hint="eastAsia" w:ascii="仿宋_GB2312" w:eastAsia="仿宋_GB2312"/>
          <w:b w:val="0"/>
          <w:bCs w:val="0"/>
          <w:sz w:val="32"/>
          <w:szCs w:val="32"/>
        </w:rPr>
        <w:t>条。</w:t>
      </w:r>
      <w:r>
        <w:rPr>
          <w:rFonts w:hint="eastAsia" w:ascii="仿宋_GB2312" w:eastAsia="仿宋_GB2312"/>
          <w:b w:val="0"/>
          <w:bCs w:val="0"/>
          <w:sz w:val="32"/>
          <w:szCs w:val="32"/>
          <w:lang w:val="en-US" w:eastAsia="zh-CN"/>
        </w:rPr>
        <w:t>二是做好市场监管领域</w:t>
      </w:r>
      <w:r>
        <w:rPr>
          <w:sz w:val="13"/>
          <w:szCs w:val="13"/>
        </w:rPr>
        <w:drawing>
          <wp:anchor distT="0" distB="0" distL="114300" distR="114300" simplePos="0" relativeHeight="251668480" behindDoc="0" locked="0" layoutInCell="1" allowOverlap="1">
            <wp:simplePos x="0" y="0"/>
            <wp:positionH relativeFrom="column">
              <wp:posOffset>2916555</wp:posOffset>
            </wp:positionH>
            <wp:positionV relativeFrom="page">
              <wp:posOffset>5079365</wp:posOffset>
            </wp:positionV>
            <wp:extent cx="2452370" cy="1442085"/>
            <wp:effectExtent l="0" t="0" r="11430" b="5715"/>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2452370" cy="1442085"/>
                    </a:xfrm>
                    <a:prstGeom prst="rect">
                      <a:avLst/>
                    </a:prstGeom>
                    <a:noFill/>
                    <a:ln>
                      <a:noFill/>
                    </a:ln>
                  </pic:spPr>
                </pic:pic>
              </a:graphicData>
            </a:graphic>
          </wp:anchor>
        </w:drawing>
      </w:r>
      <w:r>
        <w:rPr>
          <w:rFonts w:hint="eastAsia" w:ascii="仿宋_GB2312" w:eastAsia="仿宋_GB2312"/>
          <w:b w:val="0"/>
          <w:bCs w:val="0"/>
          <w:sz w:val="32"/>
          <w:szCs w:val="32"/>
          <w:lang w:val="en-US" w:eastAsia="zh-CN"/>
        </w:rPr>
        <w:t>信息公开。及时向社会发布产品质量监督抽查结果，公开食品药品安全监督抽检信息。</w:t>
      </w:r>
      <w:r>
        <w:rPr>
          <w:rFonts w:hint="eastAsia" w:ascii="仿宋_GB2312" w:eastAsia="仿宋_GB2312"/>
          <w:b w:val="0"/>
          <w:bCs w:val="0"/>
          <w:sz w:val="32"/>
          <w:szCs w:val="32"/>
        </w:rPr>
        <w:t>全年通过</w:t>
      </w:r>
      <w:r>
        <w:rPr>
          <w:rFonts w:hint="eastAsia" w:ascii="仿宋_GB2312" w:eastAsia="仿宋_GB2312"/>
          <w:b w:val="0"/>
          <w:bCs w:val="0"/>
          <w:sz w:val="32"/>
          <w:szCs w:val="32"/>
          <w:lang w:val="en-US" w:eastAsia="zh-CN"/>
        </w:rPr>
        <w:t>县</w:t>
      </w:r>
      <w:r>
        <w:rPr>
          <w:rFonts w:hint="eastAsia" w:ascii="仿宋_GB2312" w:eastAsia="仿宋_GB2312"/>
          <w:b w:val="0"/>
          <w:bCs w:val="0"/>
          <w:sz w:val="32"/>
          <w:szCs w:val="32"/>
        </w:rPr>
        <w:t>政府网站公开相关信息</w:t>
      </w:r>
      <w:r>
        <w:rPr>
          <w:rFonts w:hint="eastAsia" w:ascii="仿宋_GB2312" w:eastAsia="仿宋_GB2312"/>
          <w:b w:val="0"/>
          <w:bCs w:val="0"/>
          <w:sz w:val="32"/>
          <w:szCs w:val="32"/>
          <w:lang w:val="en-US" w:eastAsia="zh-CN"/>
        </w:rPr>
        <w:t>94</w:t>
      </w:r>
      <w:r>
        <w:rPr>
          <w:rFonts w:hint="eastAsia" w:ascii="仿宋_GB2312" w:eastAsia="仿宋_GB2312"/>
          <w:b w:val="0"/>
          <w:bCs w:val="0"/>
          <w:sz w:val="32"/>
          <w:szCs w:val="32"/>
        </w:rPr>
        <w:t>条。</w:t>
      </w:r>
      <w:r>
        <w:rPr>
          <w:rFonts w:hint="eastAsia" w:ascii="仿宋_GB2312" w:eastAsia="仿宋_GB2312"/>
          <w:b w:val="0"/>
          <w:bCs w:val="0"/>
          <w:sz w:val="32"/>
          <w:szCs w:val="32"/>
          <w:lang w:val="en-US" w:eastAsia="zh-CN"/>
        </w:rPr>
        <w:t>三是做好应急管理信息公开。</w:t>
      </w:r>
      <w:r>
        <w:rPr>
          <w:rFonts w:hint="eastAsia" w:ascii="仿宋_GB2312" w:eastAsia="仿宋_GB2312"/>
          <w:b w:val="0"/>
          <w:bCs w:val="0"/>
          <w:sz w:val="32"/>
          <w:szCs w:val="32"/>
        </w:rPr>
        <w:t>推进突发公共事件的应急预案、</w:t>
      </w:r>
      <w:r>
        <w:rPr>
          <w:rFonts w:hint="eastAsia" w:ascii="仿宋_GB2312" w:eastAsia="仿宋_GB2312"/>
          <w:b w:val="0"/>
          <w:bCs w:val="0"/>
          <w:sz w:val="32"/>
          <w:szCs w:val="32"/>
          <w:lang w:val="en-US" w:eastAsia="zh-CN"/>
        </w:rPr>
        <w:t>预警信息</w:t>
      </w:r>
      <w:r>
        <w:rPr>
          <w:rFonts w:hint="eastAsia" w:ascii="仿宋_GB2312" w:eastAsia="仿宋_GB2312"/>
          <w:b w:val="0"/>
          <w:bCs w:val="0"/>
          <w:sz w:val="32"/>
          <w:szCs w:val="32"/>
        </w:rPr>
        <w:t>及应对情况公开</w:t>
      </w:r>
      <w:r>
        <w:rPr>
          <w:rFonts w:hint="eastAsia" w:ascii="仿宋_GB2312" w:eastAsia="仿宋_GB2312"/>
          <w:b w:val="0"/>
          <w:bCs w:val="0"/>
          <w:sz w:val="32"/>
          <w:szCs w:val="32"/>
          <w:lang w:eastAsia="zh-CN"/>
        </w:rPr>
        <w:t>，</w:t>
      </w:r>
      <w:r>
        <w:rPr>
          <w:rFonts w:hint="eastAsia" w:ascii="仿宋_GB2312" w:eastAsia="仿宋_GB2312"/>
          <w:b w:val="0"/>
          <w:bCs w:val="0"/>
          <w:sz w:val="32"/>
          <w:szCs w:val="32"/>
          <w:lang w:val="en-US" w:eastAsia="zh-CN"/>
        </w:rPr>
        <w:t>及时发布安全生产领域常规检查、随机抽查等执法检查信息。</w:t>
      </w:r>
    </w:p>
    <w:p>
      <w:pPr>
        <w:keepNext/>
        <w:keepLines/>
        <w:pageBreakBefore w:val="0"/>
        <w:widowControl w:val="0"/>
        <w:numPr>
          <w:ilvl w:val="0"/>
          <w:numId w:val="0"/>
        </w:numPr>
        <w:kinsoku/>
        <w:wordWrap/>
        <w:overflowPunct/>
        <w:topLinePunct w:val="0"/>
        <w:autoSpaceDE/>
        <w:autoSpaceDN/>
        <w:bidi w:val="0"/>
        <w:adjustRightInd w:val="0"/>
        <w:snapToGrid/>
        <w:spacing w:line="160" w:lineRule="exact"/>
        <w:jc w:val="both"/>
        <w:textAlignment w:val="auto"/>
        <w:outlineLvl w:val="9"/>
        <w:rPr>
          <w:rFonts w:hint="eastAsia"/>
          <w:sz w:val="13"/>
          <w:szCs w:val="13"/>
          <w:lang w:val="en-US" w:eastAsia="zh-CN"/>
        </w:rPr>
      </w:pPr>
      <w:r>
        <w:drawing>
          <wp:anchor distT="0" distB="0" distL="114300" distR="114300" simplePos="0" relativeHeight="251669504" behindDoc="0" locked="0" layoutInCell="1" allowOverlap="1">
            <wp:simplePos x="0" y="0"/>
            <wp:positionH relativeFrom="column">
              <wp:posOffset>11430</wp:posOffset>
            </wp:positionH>
            <wp:positionV relativeFrom="paragraph">
              <wp:posOffset>63500</wp:posOffset>
            </wp:positionV>
            <wp:extent cx="5273040" cy="1829435"/>
            <wp:effectExtent l="0" t="0" r="10160" b="12065"/>
            <wp:wrapTopAndBottom/>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6"/>
                    <a:stretch>
                      <a:fillRect/>
                    </a:stretch>
                  </pic:blipFill>
                  <pic:spPr>
                    <a:xfrm>
                      <a:off x="0" y="0"/>
                      <a:ext cx="5273040" cy="182943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21590</wp:posOffset>
            </wp:positionH>
            <wp:positionV relativeFrom="paragraph">
              <wp:posOffset>1896745</wp:posOffset>
            </wp:positionV>
            <wp:extent cx="2690495" cy="1458595"/>
            <wp:effectExtent l="0" t="0" r="1905" b="1905"/>
            <wp:wrapTopAndBottom/>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7"/>
                    <a:stretch>
                      <a:fillRect/>
                    </a:stretch>
                  </pic:blipFill>
                  <pic:spPr>
                    <a:xfrm>
                      <a:off x="0" y="0"/>
                      <a:ext cx="2690495" cy="145859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firstLine="643" w:firstLineChars="200"/>
        <w:textAlignment w:val="auto"/>
        <w:rPr>
          <w:rFonts w:hint="eastAsia" w:ascii="仿宋_GB2312" w:eastAsia="仿宋_GB2312"/>
          <w:sz w:val="32"/>
          <w:szCs w:val="32"/>
          <w:lang w:val="en-US" w:eastAsia="zh-CN"/>
        </w:rPr>
      </w:pPr>
      <w:r>
        <w:rPr>
          <w:rFonts w:hint="eastAsia" w:ascii="仿宋_GB2312" w:hAnsi="Times New Roman" w:eastAsia="仿宋_GB2312" w:cs="Times New Roman"/>
          <w:b/>
          <w:bCs/>
          <w:color w:val="000000" w:themeColor="text1"/>
          <w:kern w:val="2"/>
          <w:sz w:val="32"/>
          <w:szCs w:val="32"/>
          <w:lang w:val="en-US" w:eastAsia="zh-CN" w:bidi="ar-SA"/>
          <w14:textFill>
            <w14:solidFill>
              <w14:schemeClr w14:val="tx1"/>
            </w14:solidFill>
          </w14:textFill>
        </w:rPr>
        <w:t>8、推进其他法定主动公开领域信息公开。</w:t>
      </w:r>
      <w:r>
        <w:rPr>
          <w:rFonts w:hint="eastAsia" w:ascii="仿宋_GB2312" w:hAnsi="Times New Roman" w:eastAsia="仿宋_GB2312" w:cs="Times New Roman"/>
          <w:b w:val="0"/>
          <w:bCs w:val="0"/>
          <w:kern w:val="2"/>
          <w:sz w:val="32"/>
          <w:szCs w:val="32"/>
          <w:lang w:val="en-US" w:eastAsia="zh-CN" w:bidi="ar-SA"/>
        </w:rPr>
        <w:t>2020年，公开国民经济和社会发</w:t>
      </w:r>
      <w:r>
        <w:rPr>
          <w:rFonts w:hint="eastAsia" w:ascii="仿宋_GB2312" w:eastAsia="仿宋_GB2312"/>
          <w:sz w:val="32"/>
          <w:szCs w:val="32"/>
          <w:lang w:val="en-US" w:eastAsia="zh-CN"/>
        </w:rPr>
        <w:t>展规划、专项规划、区域规划等信息78条；公开统计月报、统计公报、统计年鉴、统计分析等国民经济和社会发展统计信息</w:t>
      </w:r>
      <w:r>
        <w:rPr>
          <w:rFonts w:hint="eastAsia" w:ascii="仿宋_GB2312" w:hAnsi="Times New Roman" w:eastAsia="仿宋_GB2312" w:cs="Times New Roman"/>
          <w:b w:val="0"/>
          <w:bCs w:val="0"/>
          <w:kern w:val="2"/>
          <w:sz w:val="32"/>
          <w:szCs w:val="32"/>
          <w:lang w:val="en-US" w:eastAsia="zh-CN" w:bidi="ar-SA"/>
        </w:rPr>
        <w:t>20条；公开人事任免、公务员招考</w:t>
      </w:r>
      <w:r>
        <w:rPr>
          <w:rFonts w:hint="eastAsia" w:ascii="仿宋_GB2312" w:eastAsia="仿宋_GB2312"/>
          <w:sz w:val="32"/>
          <w:szCs w:val="32"/>
          <w:lang w:val="en-US" w:eastAsia="zh-CN"/>
        </w:rPr>
        <w:t>、事业单位招考等信息58条；公开就业创业政策措施和相关活动等信息112条；公开市政建设、治安管理等信息71条。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lang w:val="en-US" w:eastAsia="zh-CN" w:bidi="ar"/>
        </w:rPr>
        <w:t>（二）依申请公开情况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lang w:val="en-US" w:eastAsia="zh-CN"/>
        </w:rPr>
        <w:t>1、本年度政府信息公开申请办理情况。</w:t>
      </w:r>
      <w:r>
        <w:rPr>
          <w:rFonts w:hint="eastAsia" w:ascii="仿宋_GB2312" w:eastAsia="仿宋_GB2312"/>
          <w:sz w:val="32"/>
          <w:szCs w:val="32"/>
          <w:lang w:val="en-US" w:eastAsia="zh-CN"/>
        </w:rPr>
        <w:t>2020</w:t>
      </w:r>
      <w:r>
        <w:rPr>
          <w:rFonts w:hint="eastAsia" w:ascii="仿宋_GB2312" w:eastAsia="仿宋_GB2312"/>
          <w:sz w:val="32"/>
          <w:szCs w:val="32"/>
        </w:rPr>
        <w:t>年</w:t>
      </w:r>
      <w:r>
        <w:rPr>
          <w:rFonts w:hint="eastAsia" w:ascii="仿宋_GB2312" w:eastAsia="仿宋_GB2312"/>
          <w:sz w:val="32"/>
          <w:szCs w:val="32"/>
          <w:lang w:eastAsia="zh-CN"/>
        </w:rPr>
        <w:t>，</w:t>
      </w:r>
      <w:r>
        <w:rPr>
          <w:rFonts w:hint="eastAsia" w:ascii="仿宋_GB2312" w:eastAsia="仿宋_GB2312"/>
          <w:sz w:val="32"/>
          <w:szCs w:val="32"/>
        </w:rPr>
        <w:t>全</w:t>
      </w:r>
      <w:r>
        <w:rPr>
          <w:rFonts w:hint="eastAsia" w:ascii="仿宋_GB2312" w:eastAsia="仿宋_GB2312"/>
          <w:sz w:val="32"/>
          <w:szCs w:val="32"/>
          <w:lang w:val="en-US" w:eastAsia="zh-CN"/>
        </w:rPr>
        <w:t>县</w:t>
      </w:r>
      <w:r>
        <w:rPr>
          <w:rFonts w:hint="eastAsia" w:ascii="仿宋_GB2312" w:eastAsia="仿宋_GB2312"/>
          <w:sz w:val="32"/>
          <w:szCs w:val="32"/>
        </w:rPr>
        <w:t>共收到政府信息公开申请</w:t>
      </w:r>
      <w:r>
        <w:rPr>
          <w:rFonts w:hint="eastAsia" w:ascii="仿宋_GB2312" w:eastAsia="仿宋_GB2312"/>
          <w:sz w:val="32"/>
          <w:szCs w:val="32"/>
          <w:lang w:val="en-US" w:eastAsia="zh-CN"/>
        </w:rPr>
        <w:t>33</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较去年减少4件</w:t>
      </w:r>
      <w:r>
        <w:rPr>
          <w:rFonts w:hint="eastAsia" w:ascii="仿宋_GB2312" w:eastAsia="仿宋_GB2312"/>
          <w:sz w:val="32"/>
          <w:szCs w:val="32"/>
          <w:lang w:eastAsia="zh-CN"/>
        </w:rPr>
        <w:t>，</w:t>
      </w:r>
      <w:r>
        <w:rPr>
          <w:rFonts w:hint="eastAsia" w:ascii="仿宋_GB2312" w:eastAsia="仿宋_GB2312"/>
          <w:sz w:val="32"/>
          <w:szCs w:val="32"/>
        </w:rPr>
        <w:t>主要涉及土地征收、</w:t>
      </w:r>
      <w:r>
        <w:rPr>
          <w:rFonts w:hint="eastAsia" w:ascii="仿宋_GB2312" w:eastAsia="仿宋_GB2312"/>
          <w:sz w:val="32"/>
          <w:szCs w:val="32"/>
          <w:lang w:val="en-US" w:eastAsia="zh-CN"/>
        </w:rPr>
        <w:t>拆迁补偿</w:t>
      </w:r>
      <w:r>
        <w:rPr>
          <w:rFonts w:hint="eastAsia" w:ascii="仿宋_GB2312" w:eastAsia="仿宋_GB2312"/>
          <w:sz w:val="32"/>
          <w:szCs w:val="32"/>
        </w:rPr>
        <w:t>、</w:t>
      </w:r>
      <w:r>
        <w:rPr>
          <w:rFonts w:hint="eastAsia" w:ascii="仿宋_GB2312" w:eastAsia="仿宋_GB2312"/>
          <w:sz w:val="32"/>
          <w:szCs w:val="32"/>
          <w:lang w:val="en-US" w:eastAsia="zh-CN"/>
        </w:rPr>
        <w:t>棚户区改造、</w:t>
      </w:r>
      <w:r>
        <w:rPr>
          <w:rFonts w:hint="eastAsia" w:ascii="仿宋_GB2312" w:eastAsia="仿宋_GB2312"/>
          <w:sz w:val="32"/>
          <w:szCs w:val="32"/>
        </w:rPr>
        <w:t>城市规划等。收到</w:t>
      </w:r>
      <w:r>
        <w:rPr>
          <w:rFonts w:hint="eastAsia" w:ascii="仿宋_GB2312" w:eastAsia="仿宋_GB2312"/>
          <w:sz w:val="32"/>
          <w:szCs w:val="32"/>
          <w:lang w:val="en-US" w:eastAsia="zh-CN"/>
        </w:rPr>
        <w:t>的依申请公开全部按期答复，</w:t>
      </w:r>
      <w:r>
        <w:rPr>
          <w:rFonts w:hint="eastAsia" w:ascii="仿宋_GB2312" w:eastAsia="仿宋_GB2312"/>
          <w:sz w:val="32"/>
          <w:szCs w:val="32"/>
        </w:rPr>
        <w:t>其中予以公开</w:t>
      </w:r>
      <w:r>
        <w:rPr>
          <w:rFonts w:hint="eastAsia" w:ascii="仿宋_GB2312" w:eastAsia="仿宋_GB2312"/>
          <w:sz w:val="32"/>
          <w:szCs w:val="32"/>
          <w:lang w:val="en-US" w:eastAsia="zh-CN"/>
        </w:rPr>
        <w:t>16</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占49%</w:t>
      </w:r>
      <w:r>
        <w:rPr>
          <w:rFonts w:hint="eastAsia" w:ascii="仿宋_GB2312" w:eastAsia="仿宋_GB2312"/>
          <w:sz w:val="32"/>
          <w:szCs w:val="32"/>
          <w:lang w:eastAsia="zh-CN"/>
        </w:rPr>
        <w:t>；</w:t>
      </w:r>
      <w:r>
        <w:rPr>
          <w:rFonts w:hint="eastAsia" w:ascii="仿宋_GB2312" w:eastAsia="仿宋_GB2312"/>
          <w:sz w:val="32"/>
          <w:szCs w:val="32"/>
        </w:rPr>
        <w:t>部分公开</w:t>
      </w:r>
      <w:r>
        <w:rPr>
          <w:rFonts w:hint="eastAsia" w:ascii="仿宋_GB2312" w:eastAsia="仿宋_GB2312"/>
          <w:sz w:val="32"/>
          <w:szCs w:val="32"/>
          <w:lang w:val="en-US" w:eastAsia="zh-CN"/>
        </w:rPr>
        <w:t>2</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占6%；</w:t>
      </w:r>
      <w:r>
        <w:rPr>
          <w:rFonts w:hint="eastAsia" w:ascii="仿宋_GB2312" w:eastAsia="仿宋_GB2312"/>
          <w:sz w:val="32"/>
          <w:szCs w:val="32"/>
        </w:rPr>
        <w:t>不予公开4件</w:t>
      </w:r>
      <w:r>
        <w:rPr>
          <w:rFonts w:hint="eastAsia" w:ascii="仿宋_GB2312" w:eastAsia="仿宋_GB2312"/>
          <w:sz w:val="32"/>
          <w:szCs w:val="32"/>
          <w:lang w:eastAsia="zh-CN"/>
        </w:rPr>
        <w:t>，</w:t>
      </w:r>
      <w:r>
        <w:rPr>
          <w:rFonts w:hint="eastAsia" w:ascii="仿宋_GB2312" w:eastAsia="仿宋_GB2312"/>
          <w:sz w:val="32"/>
          <w:szCs w:val="32"/>
          <w:lang w:val="en-US" w:eastAsia="zh-CN"/>
        </w:rPr>
        <w:t>占12%；</w:t>
      </w:r>
      <w:r>
        <w:rPr>
          <w:rFonts w:hint="eastAsia" w:ascii="仿宋_GB2312" w:eastAsia="仿宋_GB2312"/>
          <w:sz w:val="32"/>
          <w:szCs w:val="32"/>
        </w:rPr>
        <w:t>无法提供</w:t>
      </w:r>
      <w:r>
        <w:rPr>
          <w:rFonts w:hint="eastAsia" w:ascii="仿宋_GB2312" w:eastAsia="仿宋_GB2312"/>
          <w:sz w:val="32"/>
          <w:szCs w:val="32"/>
          <w:lang w:val="en-US" w:eastAsia="zh-CN"/>
        </w:rPr>
        <w:t>7</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占21%；</w:t>
      </w:r>
      <w:r>
        <w:rPr>
          <w:rFonts w:hint="eastAsia" w:ascii="仿宋_GB2312" w:eastAsia="仿宋_GB2312"/>
          <w:sz w:val="32"/>
          <w:szCs w:val="32"/>
        </w:rPr>
        <w:t>不予处理2件</w:t>
      </w:r>
      <w:r>
        <w:rPr>
          <w:rFonts w:hint="eastAsia" w:ascii="仿宋_GB2312" w:eastAsia="仿宋_GB2312"/>
          <w:sz w:val="32"/>
          <w:szCs w:val="32"/>
          <w:lang w:eastAsia="zh-CN"/>
        </w:rPr>
        <w:t>，</w:t>
      </w:r>
      <w:r>
        <w:rPr>
          <w:rFonts w:hint="eastAsia" w:ascii="仿宋_GB2312" w:eastAsia="仿宋_GB2312"/>
          <w:sz w:val="32"/>
          <w:szCs w:val="32"/>
          <w:lang w:val="en-US" w:eastAsia="zh-CN"/>
        </w:rPr>
        <w:t>占6%；</w:t>
      </w:r>
      <w:r>
        <w:rPr>
          <w:rFonts w:hint="eastAsia" w:ascii="仿宋_GB2312" w:eastAsia="仿宋_GB2312"/>
          <w:sz w:val="32"/>
          <w:szCs w:val="32"/>
        </w:rPr>
        <w:t>其他处理</w:t>
      </w:r>
      <w:r>
        <w:rPr>
          <w:rFonts w:hint="eastAsia" w:ascii="仿宋_GB2312" w:eastAsia="仿宋_GB2312"/>
          <w:sz w:val="32"/>
          <w:szCs w:val="32"/>
          <w:lang w:val="en-US" w:eastAsia="zh-CN"/>
        </w:rPr>
        <w:t>2</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占6%</w:t>
      </w:r>
      <w:r>
        <w:rPr>
          <w:rFonts w:hint="eastAsia" w:ascii="仿宋_GB2312" w:eastAsia="仿宋_GB2312"/>
          <w:sz w:val="32"/>
          <w:szCs w:val="32"/>
        </w:rPr>
        <w:t>。未发生因政府信息公开不当引发的失泄密事件以及擅自发布上级机关政府信息或上级政府其他工作信息等情况。</w:t>
      </w:r>
    </w:p>
    <w:p>
      <w:pPr>
        <w:pStyle w:val="2"/>
        <w:ind w:left="0" w:leftChars="0" w:firstLine="0" w:firstLineChars="0"/>
      </w:pPr>
      <w:r>
        <w:drawing>
          <wp:inline distT="0" distB="0" distL="114300" distR="114300">
            <wp:extent cx="5170170" cy="2861310"/>
            <wp:effectExtent l="4445" t="4445" r="6985" b="17145"/>
            <wp:docPr id="4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ind w:firstLine="643" w:firstLineChars="200"/>
        <w:jc w:val="both"/>
        <w:textAlignment w:val="auto"/>
        <w:rPr>
          <w:rFonts w:ascii="Times New Roman" w:hAnsi="Times New Roman" w:eastAsia="楷体_GB2312" w:cs="Times New Roman"/>
          <w:b/>
          <w:bCs/>
          <w:sz w:val="32"/>
          <w:szCs w:val="32"/>
          <w:shd w:val="clear" w:color="auto" w:fill="FFFFFF"/>
        </w:rPr>
      </w:pPr>
      <w:r>
        <w:rPr>
          <w:rFonts w:hint="eastAsia" w:ascii="Times New Roman" w:hAnsi="Times New Roman" w:eastAsia="楷体_GB2312" w:cs="楷体_GB2312"/>
          <w:b/>
          <w:bCs/>
          <w:sz w:val="32"/>
          <w:szCs w:val="32"/>
          <w:shd w:val="clear" w:color="auto" w:fill="FFFFFF"/>
        </w:rPr>
        <w:t>收费和减免情况：</w:t>
      </w:r>
    </w:p>
    <w:p>
      <w:pPr>
        <w:pStyle w:val="9"/>
        <w:keepNext w:val="0"/>
        <w:keepLines w:val="0"/>
        <w:pageBreakBefore w:val="0"/>
        <w:widowControl/>
        <w:kinsoku/>
        <w:wordWrap/>
        <w:overflowPunct/>
        <w:topLinePunct w:val="0"/>
        <w:autoSpaceDE/>
        <w:autoSpaceDN/>
        <w:bidi w:val="0"/>
        <w:adjustRightInd/>
        <w:snapToGrid/>
        <w:spacing w:beforeAutospacing="0" w:afterAutospacing="0"/>
        <w:ind w:firstLine="640" w:firstLineChars="20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本年度全</w:t>
      </w:r>
      <w:r>
        <w:rPr>
          <w:rFonts w:hint="eastAsia" w:ascii="仿宋_GB2312" w:eastAsia="仿宋_GB2312" w:cs="Times New Roman"/>
          <w:kern w:val="2"/>
          <w:sz w:val="32"/>
          <w:szCs w:val="32"/>
          <w:lang w:val="en-US" w:eastAsia="zh-CN" w:bidi="ar-SA"/>
        </w:rPr>
        <w:t>县及相关</w:t>
      </w:r>
      <w:r>
        <w:rPr>
          <w:rFonts w:hint="eastAsia" w:ascii="仿宋_GB2312" w:hAnsi="Times New Roman" w:eastAsia="仿宋_GB2312" w:cs="Times New Roman"/>
          <w:kern w:val="2"/>
          <w:sz w:val="32"/>
          <w:szCs w:val="32"/>
          <w:lang w:val="en-US" w:eastAsia="zh-CN" w:bidi="ar-SA"/>
        </w:rPr>
        <w:t>部门依申请公开政府信息未收取任何费用。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eastAsia="仿宋_GB2312"/>
          <w:sz w:val="32"/>
          <w:szCs w:val="32"/>
        </w:rPr>
      </w:pPr>
      <w:r>
        <w:rPr>
          <w:rFonts w:hint="eastAsia" w:ascii="仿宋_GB2312" w:eastAsia="仿宋_GB2312"/>
          <w:b/>
          <w:bCs/>
          <w:sz w:val="32"/>
          <w:szCs w:val="32"/>
          <w:lang w:val="en-US" w:eastAsia="zh-CN"/>
        </w:rPr>
        <w:t>2、政府信息公开被申请行政复议、提起行政诉讼情况。</w:t>
      </w:r>
      <w:r>
        <w:rPr>
          <w:rFonts w:hint="eastAsia" w:ascii="仿宋_GB2312" w:eastAsia="仿宋_GB2312"/>
          <w:sz w:val="32"/>
          <w:szCs w:val="32"/>
          <w:lang w:val="en-US" w:eastAsia="zh-CN"/>
        </w:rPr>
        <w:t>2020</w:t>
      </w:r>
      <w:r>
        <w:rPr>
          <w:rFonts w:hint="eastAsia" w:ascii="仿宋_GB2312" w:eastAsia="仿宋_GB2312"/>
          <w:sz w:val="32"/>
          <w:szCs w:val="32"/>
        </w:rPr>
        <w:t>年，全</w:t>
      </w:r>
      <w:r>
        <w:rPr>
          <w:rFonts w:hint="eastAsia" w:ascii="仿宋_GB2312" w:eastAsia="仿宋_GB2312"/>
          <w:sz w:val="32"/>
          <w:szCs w:val="32"/>
          <w:lang w:val="en-US" w:eastAsia="zh-CN"/>
        </w:rPr>
        <w:t>县</w:t>
      </w:r>
      <w:r>
        <w:rPr>
          <w:rFonts w:hint="eastAsia" w:ascii="仿宋_GB2312" w:eastAsia="仿宋_GB2312"/>
          <w:sz w:val="32"/>
          <w:szCs w:val="32"/>
        </w:rPr>
        <w:t>共收到因政府信息公开提起的行政复议</w:t>
      </w:r>
      <w:r>
        <w:rPr>
          <w:rFonts w:hint="eastAsia" w:ascii="仿宋_GB2312" w:eastAsia="仿宋_GB2312"/>
          <w:sz w:val="32"/>
          <w:szCs w:val="32"/>
          <w:lang w:val="en-US" w:eastAsia="zh-CN"/>
        </w:rPr>
        <w:t>7</w:t>
      </w:r>
      <w:r>
        <w:rPr>
          <w:rFonts w:hint="eastAsia" w:ascii="仿宋_GB2312" w:eastAsia="仿宋_GB2312"/>
          <w:sz w:val="32"/>
          <w:szCs w:val="32"/>
        </w:rPr>
        <w:t>件，</w:t>
      </w:r>
      <w:r>
        <w:rPr>
          <w:rFonts w:hint="eastAsia" w:ascii="仿宋_GB2312" w:eastAsia="仿宋_GB2312"/>
          <w:sz w:val="32"/>
          <w:szCs w:val="32"/>
          <w:lang w:val="en-US" w:eastAsia="zh-CN"/>
        </w:rPr>
        <w:t>与2019年持平，</w:t>
      </w:r>
      <w:r>
        <w:rPr>
          <w:rFonts w:hint="eastAsia" w:ascii="仿宋_GB2312" w:eastAsia="仿宋_GB2312"/>
          <w:sz w:val="32"/>
          <w:szCs w:val="32"/>
        </w:rPr>
        <w:t>均已在规定时限内办结，其中维持</w:t>
      </w:r>
      <w:r>
        <w:rPr>
          <w:rFonts w:hint="eastAsia" w:ascii="仿宋_GB2312" w:eastAsia="仿宋_GB2312"/>
          <w:sz w:val="32"/>
          <w:szCs w:val="32"/>
          <w:lang w:val="en-US" w:eastAsia="zh-CN"/>
        </w:rPr>
        <w:t>4</w:t>
      </w:r>
      <w:r>
        <w:rPr>
          <w:rFonts w:hint="eastAsia" w:ascii="仿宋_GB2312" w:eastAsia="仿宋_GB2312"/>
          <w:sz w:val="32"/>
          <w:szCs w:val="32"/>
        </w:rPr>
        <w:t>件，</w:t>
      </w:r>
      <w:r>
        <w:rPr>
          <w:rFonts w:hint="eastAsia" w:ascii="仿宋_GB2312" w:eastAsia="仿宋_GB2312"/>
          <w:sz w:val="32"/>
          <w:szCs w:val="32"/>
          <w:lang w:val="en-US" w:eastAsia="zh-CN"/>
        </w:rPr>
        <w:t>被驳回2件，被终止1件</w:t>
      </w:r>
      <w:r>
        <w:rPr>
          <w:rFonts w:hint="eastAsia" w:ascii="仿宋_GB2312" w:eastAsia="仿宋_GB2312"/>
          <w:sz w:val="32"/>
          <w:szCs w:val="32"/>
        </w:rPr>
        <w:t>。因政府信息公开申请提起的行政诉讼</w:t>
      </w:r>
      <w:r>
        <w:rPr>
          <w:rFonts w:hint="eastAsia" w:ascii="仿宋_GB2312" w:eastAsia="仿宋_GB2312"/>
          <w:sz w:val="32"/>
          <w:szCs w:val="32"/>
          <w:lang w:val="en-US" w:eastAsia="zh-CN"/>
        </w:rPr>
        <w:t>0</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lang w:val="en-US" w:eastAsia="zh-CN"/>
        </w:rPr>
        <w:t>较2019年减少2件</w:t>
      </w:r>
      <w:r>
        <w:rPr>
          <w:rFonts w:hint="eastAsia" w:ascii="仿宋_GB2312"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lang w:val="en-US" w:eastAsia="zh-CN" w:bidi="ar"/>
        </w:rPr>
        <w:t>（三）政府信息管理情况</w:t>
      </w:r>
    </w:p>
    <w:p>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600" w:lineRule="exact"/>
        <w:ind w:right="0" w:rightChars="0" w:firstLine="640" w:firstLineChars="200"/>
        <w:jc w:val="both"/>
        <w:textAlignment w:val="auto"/>
        <w:rPr>
          <w:rFonts w:hint="eastAsia" w:eastAsia="仿宋_GB2312"/>
          <w:sz w:val="13"/>
          <w:szCs w:val="13"/>
          <w:lang w:val="en-US" w:eastAsia="zh-CN"/>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72576" behindDoc="0" locked="0" layoutInCell="1" allowOverlap="1">
            <wp:simplePos x="0" y="0"/>
            <wp:positionH relativeFrom="column">
              <wp:posOffset>2717165</wp:posOffset>
            </wp:positionH>
            <wp:positionV relativeFrom="page">
              <wp:posOffset>6529705</wp:posOffset>
            </wp:positionV>
            <wp:extent cx="2733675" cy="2911475"/>
            <wp:effectExtent l="0" t="0" r="9525" b="9525"/>
            <wp:wrapTopAndBottom/>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9"/>
                    <a:stretch>
                      <a:fillRect/>
                    </a:stretch>
                  </pic:blipFill>
                  <pic:spPr>
                    <a:xfrm>
                      <a:off x="0" y="0"/>
                      <a:ext cx="2733675" cy="2911475"/>
                    </a:xfrm>
                    <a:prstGeom prst="rect">
                      <a:avLst/>
                    </a:prstGeom>
                    <a:noFill/>
                    <a:ln>
                      <a:noFill/>
                    </a:ln>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71552" behindDoc="0" locked="0" layoutInCell="1" allowOverlap="1">
            <wp:simplePos x="0" y="0"/>
            <wp:positionH relativeFrom="column">
              <wp:posOffset>-95250</wp:posOffset>
            </wp:positionH>
            <wp:positionV relativeFrom="page">
              <wp:posOffset>6356350</wp:posOffset>
            </wp:positionV>
            <wp:extent cx="2771775" cy="3065145"/>
            <wp:effectExtent l="0" t="0" r="9525" b="8255"/>
            <wp:wrapTopAndBottom/>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0"/>
                    <a:stretch>
                      <a:fillRect/>
                    </a:stretch>
                  </pic:blipFill>
                  <pic:spPr>
                    <a:xfrm>
                      <a:off x="0" y="0"/>
                      <a:ext cx="2771775" cy="3065145"/>
                    </a:xfrm>
                    <a:prstGeom prst="rect">
                      <a:avLst/>
                    </a:prstGeom>
                    <a:noFill/>
                    <a:ln>
                      <a:noFill/>
                    </a:ln>
                  </pic:spPr>
                </pic:pic>
              </a:graphicData>
            </a:graphic>
          </wp:anchor>
        </w:drawing>
      </w:r>
      <w:r>
        <w:rPr>
          <w:rFonts w:hint="eastAsia" w:eastAsia="仿宋_GB2312"/>
          <w:sz w:val="32"/>
          <w:szCs w:val="32"/>
          <w:lang w:val="en-US" w:eastAsia="zh-CN"/>
        </w:rPr>
        <w:t>1、根据《沂南县公文公开属性源头认定制度》有关要求，按照“</w:t>
      </w:r>
      <w:r>
        <w:rPr>
          <w:rFonts w:hint="eastAsia" w:ascii="仿宋_GB2312" w:eastAsia="仿宋_GB2312"/>
          <w:sz w:val="32"/>
          <w:szCs w:val="32"/>
          <w:lang w:val="en-US" w:eastAsia="zh-CN"/>
        </w:rPr>
        <w:t>谁制作、谁提出、谁审查、谁办理”原则，在拟制公文时同步确定公开属性，对不予公开的应说明理由。根据《沂南县政务信息公开定期审查制度》规定，对公开内容、公开形式、公开时间严格把关。</w:t>
      </w:r>
      <w:r>
        <w:rPr>
          <w:rFonts w:hint="default" w:ascii="仿宋_GB2312" w:eastAsia="仿宋_GB2312"/>
          <w:sz w:val="32"/>
          <w:szCs w:val="32"/>
          <w:lang w:val="en-US" w:eastAsia="zh-CN"/>
        </w:rPr>
        <w:t>通过政府购买服务方式，引入第三方公司对</w:t>
      </w:r>
      <w:r>
        <w:rPr>
          <w:rFonts w:hint="eastAsia" w:ascii="仿宋_GB2312" w:eastAsia="仿宋_GB2312"/>
          <w:sz w:val="32"/>
          <w:szCs w:val="32"/>
          <w:lang w:val="en-US" w:eastAsia="zh-CN"/>
        </w:rPr>
        <w:t>县政府网站进行监测</w:t>
      </w:r>
      <w:r>
        <w:rPr>
          <w:rFonts w:hint="default" w:ascii="仿宋_GB2312" w:eastAsia="仿宋_GB2312"/>
          <w:sz w:val="32"/>
          <w:szCs w:val="32"/>
          <w:lang w:val="en-US" w:eastAsia="zh-CN"/>
        </w:rPr>
        <w:t>，</w:t>
      </w:r>
      <w:r>
        <w:rPr>
          <w:rFonts w:hint="eastAsia" w:ascii="仿宋_GB2312" w:eastAsia="仿宋_GB2312"/>
          <w:sz w:val="32"/>
          <w:szCs w:val="32"/>
          <w:lang w:val="en-US" w:eastAsia="zh-CN"/>
        </w:rPr>
        <w:t>及时发现问题。实行政府信息全生命周期的规范管理，对制发的规范性文件定期清</w:t>
      </w:r>
      <w:r>
        <w:rPr>
          <w:rFonts w:hint="eastAsia" w:eastAsia="仿宋_GB2312"/>
          <w:sz w:val="32"/>
          <w:szCs w:val="32"/>
          <w:lang w:val="en-US" w:eastAsia="zh-CN"/>
        </w:rPr>
        <w:t>理。截至2020年，继续有效的规范性文件14件，废止4件。</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600" w:lineRule="exact"/>
        <w:ind w:right="0" w:firstLine="640" w:firstLineChars="200"/>
        <w:jc w:val="both"/>
        <w:textAlignment w:val="auto"/>
        <w:rPr>
          <w:rFonts w:hint="eastAsia" w:ascii="Times New Roman" w:hAnsi="Times New Roman" w:eastAsia="仿宋_GB2312" w:cs="Times New Roman"/>
          <w:spacing w:val="-6"/>
          <w:kern w:val="2"/>
          <w:sz w:val="32"/>
          <w:szCs w:val="32"/>
          <w:lang w:val="en-US" w:eastAsia="zh-CN" w:bidi="ar-SA"/>
        </w:rPr>
      </w:pPr>
      <w:r>
        <w:rPr>
          <w:rFonts w:hint="eastAsia" w:eastAsia="仿宋_GB2312" w:cs="Times New Roman"/>
          <w:kern w:val="2"/>
          <w:sz w:val="32"/>
          <w:szCs w:val="32"/>
          <w:lang w:val="en-US" w:eastAsia="zh-CN" w:bidi="ar-SA"/>
        </w:rPr>
        <w:t>2、</w:t>
      </w:r>
      <w:r>
        <w:rPr>
          <w:rFonts w:hint="eastAsia" w:eastAsia="仿宋_GB2312"/>
          <w:sz w:val="32"/>
          <w:szCs w:val="32"/>
          <w:lang w:val="en-US" w:eastAsia="zh-CN"/>
        </w:rPr>
        <w:t>全面推进基层政务公开标准化规范化工作。</w:t>
      </w:r>
      <w:r>
        <w:rPr>
          <w:rFonts w:hint="eastAsia" w:ascii="Times New Roman" w:hAnsi="Times New Roman" w:eastAsia="仿宋_GB2312" w:cs="Times New Roman"/>
          <w:kern w:val="2"/>
          <w:sz w:val="32"/>
          <w:szCs w:val="32"/>
          <w:lang w:val="en-US" w:eastAsia="zh-CN" w:bidi="ar-SA"/>
        </w:rPr>
        <w:t>印发《沂南县全面推进基层政务公开标准化规范化工作实施方案》，</w:t>
      </w:r>
      <w:r>
        <w:rPr>
          <w:rFonts w:hint="eastAsia" w:eastAsia="仿宋_GB2312" w:cs="Times New Roman"/>
          <w:kern w:val="2"/>
          <w:sz w:val="32"/>
          <w:szCs w:val="32"/>
          <w:lang w:val="en-US" w:eastAsia="zh-CN" w:bidi="ar-SA"/>
        </w:rPr>
        <w:t>先后</w:t>
      </w:r>
      <w:r>
        <w:rPr>
          <w:rFonts w:hint="eastAsia" w:ascii="Times New Roman" w:hAnsi="Times New Roman" w:eastAsia="仿宋_GB2312" w:cs="Times New Roman"/>
          <w:kern w:val="2"/>
          <w:sz w:val="32"/>
          <w:szCs w:val="32"/>
          <w:lang w:val="en-US" w:eastAsia="zh-CN" w:bidi="ar-SA"/>
        </w:rPr>
        <w:t>两次大范围召开业务培训和工作推进会，调度各领域政务公开事项标准目录的编制进展情况，确保公开内容全面、公开主体精准、公开渠道明确。</w:t>
      </w:r>
      <w:r>
        <w:rPr>
          <w:rFonts w:hint="eastAsia" w:eastAsia="仿宋_GB2312" w:cs="Times New Roman"/>
          <w:kern w:val="2"/>
          <w:sz w:val="32"/>
          <w:szCs w:val="32"/>
          <w:lang w:val="en-US" w:eastAsia="zh-CN" w:bidi="ar-SA"/>
        </w:rPr>
        <w:t>2020年底，</w:t>
      </w:r>
      <w:r>
        <w:rPr>
          <w:rFonts w:hint="eastAsia" w:ascii="Times New Roman" w:hAnsi="Times New Roman" w:eastAsia="仿宋_GB2312" w:cs="Times New Roman"/>
          <w:kern w:val="2"/>
          <w:sz w:val="32"/>
          <w:szCs w:val="32"/>
          <w:lang w:val="en-US" w:eastAsia="zh-CN" w:bidi="ar-SA"/>
        </w:rPr>
        <w:t>县级26个领域、</w:t>
      </w:r>
      <w:r>
        <w:rPr>
          <w:rFonts w:hint="eastAsia" w:ascii="Times New Roman" w:hAnsi="Times New Roman" w:eastAsia="仿宋_GB2312" w:cs="Times New Roman"/>
          <w:spacing w:val="-6"/>
          <w:kern w:val="2"/>
          <w:sz w:val="32"/>
          <w:szCs w:val="32"/>
          <w:lang w:val="en-US" w:eastAsia="zh-CN" w:bidi="ar-SA"/>
        </w:rPr>
        <w:t>乡镇涉及的15个领域基层政务公开标准目录已全部编制完成。</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20" w:lineRule="atLeast"/>
        <w:ind w:right="0"/>
        <w:jc w:val="left"/>
        <w:rPr>
          <w:rFonts w:hint="eastAsia" w:ascii="Times New Roman" w:hAnsi="Times New Roman" w:eastAsia="仿宋_GB2312" w:cs="Times New Roman"/>
          <w:kern w:val="2"/>
          <w:sz w:val="32"/>
          <w:szCs w:val="32"/>
          <w:lang w:val="en-US" w:eastAsia="zh-CN" w:bidi="ar-SA"/>
        </w:rPr>
      </w:pPr>
      <w:r>
        <w:drawing>
          <wp:inline distT="0" distB="0" distL="114300" distR="114300">
            <wp:extent cx="5273040" cy="2788285"/>
            <wp:effectExtent l="0" t="0" r="10160" b="57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1"/>
                    <a:stretch>
                      <a:fillRect/>
                    </a:stretch>
                  </pic:blipFill>
                  <pic:spPr>
                    <a:xfrm>
                      <a:off x="0" y="0"/>
                      <a:ext cx="5273040" cy="27882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600" w:lineRule="exact"/>
        <w:ind w:right="0" w:firstLine="640" w:firstLineChars="200"/>
        <w:jc w:val="both"/>
        <w:textAlignment w:val="auto"/>
        <w:rPr>
          <w:rFonts w:hint="eastAsia" w:eastAsia="仿宋_GB2312"/>
          <w:sz w:val="32"/>
          <w:szCs w:val="32"/>
          <w:lang w:val="en-US" w:eastAsia="zh-CN"/>
        </w:rPr>
      </w:pPr>
      <w:r>
        <w:rPr>
          <w:rFonts w:hint="default" w:eastAsia="仿宋_GB2312"/>
          <w:sz w:val="32"/>
          <w:szCs w:val="32"/>
          <w:lang w:val="en-US" w:eastAsia="zh-CN"/>
        </w:rPr>
        <w:drawing>
          <wp:anchor distT="0" distB="0" distL="114300" distR="114300" simplePos="0" relativeHeight="251673600" behindDoc="0" locked="0" layoutInCell="1" allowOverlap="1">
            <wp:simplePos x="0" y="0"/>
            <wp:positionH relativeFrom="column">
              <wp:posOffset>2967355</wp:posOffset>
            </wp:positionH>
            <wp:positionV relativeFrom="paragraph">
              <wp:posOffset>100330</wp:posOffset>
            </wp:positionV>
            <wp:extent cx="2310765" cy="2878455"/>
            <wp:effectExtent l="0" t="0" r="635" b="4445"/>
            <wp:wrapSquare wrapText="bothSides"/>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2"/>
                    <a:stretch>
                      <a:fillRect/>
                    </a:stretch>
                  </pic:blipFill>
                  <pic:spPr>
                    <a:xfrm>
                      <a:off x="0" y="0"/>
                      <a:ext cx="2310765" cy="2878455"/>
                    </a:xfrm>
                    <a:prstGeom prst="rect">
                      <a:avLst/>
                    </a:prstGeom>
                    <a:noFill/>
                    <a:ln>
                      <a:noFill/>
                    </a:ln>
                  </pic:spPr>
                </pic:pic>
              </a:graphicData>
            </a:graphic>
          </wp:anchor>
        </w:drawing>
      </w:r>
      <w:r>
        <w:rPr>
          <w:rFonts w:hint="eastAsia" w:eastAsia="仿宋_GB2312"/>
          <w:sz w:val="32"/>
          <w:szCs w:val="32"/>
          <w:lang w:val="en-US" w:eastAsia="zh-CN"/>
        </w:rPr>
        <w:t>3、根据《政府信息公开条例》和国家、省、市《政务公开工作要点》要求，坚持公开为常态，不公开为例外，积极编制主动公开基本目录，进一步明确各领域公开的主体、内容、时限等，并监督各部门单位做好相应栏目的内容更新发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lang w:val="en-US" w:eastAsia="zh-CN" w:bidi="ar"/>
        </w:rPr>
        <w:t>（四）政府信息公开平台、机构建设和人员情况</w:t>
      </w:r>
    </w:p>
    <w:p>
      <w:pPr>
        <w:keepNext w:val="0"/>
        <w:keepLines w:val="0"/>
        <w:pageBreakBefore w:val="0"/>
        <w:widowControl w:val="0"/>
        <w:shd w:val="solid" w:color="FFFFFF" w:fill="auto"/>
        <w:kinsoku/>
        <w:wordWrap/>
        <w:overflowPunct/>
        <w:topLinePunct w:val="0"/>
        <w:autoSpaceDE/>
        <w:autoSpaceDN w:val="0"/>
        <w:bidi w:val="0"/>
        <w:adjustRightInd/>
        <w:snapToGrid/>
        <w:spacing w:line="600" w:lineRule="exact"/>
        <w:ind w:firstLine="643" w:firstLineChars="200"/>
        <w:jc w:val="both"/>
        <w:textAlignment w:val="auto"/>
        <w:rPr>
          <w:rFonts w:hint="eastAsia" w:ascii="仿宋_GB2312" w:hAnsi="黑体" w:eastAsia="仿宋_GB2312" w:cs="黑体"/>
          <w:sz w:val="32"/>
          <w:szCs w:val="32"/>
          <w:shd w:val="clear" w:color="auto" w:fill="FFFFFF"/>
          <w:lang w:val="en-US" w:eastAsia="zh-CN"/>
        </w:rPr>
      </w:pPr>
      <w:r>
        <w:rPr>
          <w:rFonts w:hint="eastAsia" w:ascii="仿宋_GB2312" w:hAnsi="文星仿宋" w:eastAsia="仿宋_GB2312" w:cs="文星仿宋"/>
          <w:b/>
          <w:bCs/>
          <w:color w:val="000000"/>
          <w:sz w:val="32"/>
          <w:szCs w:val="32"/>
          <w:lang w:val="en-US" w:eastAsia="zh-CN"/>
        </w:rPr>
        <w:t>1、完成政府网站调整升级。</w:t>
      </w:r>
      <w:r>
        <w:rPr>
          <w:rFonts w:hint="eastAsia" w:ascii="仿宋_GB2312" w:hAnsi="文星仿宋" w:eastAsia="仿宋_GB2312" w:cs="文星仿宋"/>
          <w:color w:val="000000"/>
          <w:sz w:val="32"/>
          <w:szCs w:val="32"/>
        </w:rPr>
        <w:t>坚持把</w:t>
      </w:r>
      <w:r>
        <w:rPr>
          <w:rFonts w:hint="eastAsia" w:ascii="仿宋_GB2312" w:hAnsi="文星仿宋" w:eastAsia="仿宋_GB2312" w:cs="文星仿宋"/>
          <w:color w:val="000000"/>
          <w:sz w:val="32"/>
          <w:szCs w:val="32"/>
          <w:lang w:val="en-US" w:eastAsia="zh-CN"/>
        </w:rPr>
        <w:t>县</w:t>
      </w:r>
      <w:r>
        <w:rPr>
          <w:rFonts w:hint="eastAsia" w:ascii="仿宋_GB2312" w:hAnsi="文星仿宋" w:eastAsia="仿宋_GB2312" w:cs="文星仿宋"/>
          <w:color w:val="000000"/>
          <w:sz w:val="32"/>
          <w:szCs w:val="32"/>
        </w:rPr>
        <w:t>政府网站作为政府信息公开的第一平台，强化网站运维和内容完善。</w:t>
      </w:r>
      <w:r>
        <w:rPr>
          <w:rFonts w:hint="eastAsia" w:ascii="仿宋_GB2312" w:eastAsia="仿宋_GB2312"/>
          <w:sz w:val="32"/>
          <w:szCs w:val="32"/>
          <w:lang w:eastAsia="zh-CN"/>
        </w:rPr>
        <w:t>根据</w:t>
      </w:r>
      <w:r>
        <w:rPr>
          <w:rFonts w:hint="eastAsia" w:ascii="仿宋_GB2312" w:hAnsi="文星仿宋" w:eastAsia="仿宋_GB2312"/>
          <w:sz w:val="32"/>
          <w:szCs w:val="32"/>
        </w:rPr>
        <w:t>《中华人民共和国政府信息公开条例》</w:t>
      </w:r>
      <w:r>
        <w:rPr>
          <w:rFonts w:hint="eastAsia" w:ascii="仿宋_GB2312" w:eastAsia="仿宋_GB2312"/>
          <w:sz w:val="32"/>
          <w:szCs w:val="32"/>
          <w:lang w:eastAsia="zh-CN"/>
        </w:rPr>
        <w:t>《关于规范政府信息公开平台有关事项的通知》(国办公开办函〔2019〕61 号)要求，对政府信息公开平台进行</w:t>
      </w:r>
      <w:r>
        <w:rPr>
          <w:rFonts w:hint="eastAsia" w:ascii="仿宋_GB2312" w:eastAsia="仿宋_GB2312"/>
          <w:sz w:val="32"/>
          <w:szCs w:val="32"/>
          <w:lang w:val="en-US" w:eastAsia="zh-CN"/>
        </w:rPr>
        <w:t>了</w:t>
      </w:r>
      <w:r>
        <w:rPr>
          <w:rFonts w:hint="eastAsia" w:ascii="仿宋_GB2312" w:eastAsia="仿宋_GB2312"/>
          <w:sz w:val="32"/>
          <w:szCs w:val="32"/>
          <w:lang w:eastAsia="zh-CN"/>
        </w:rPr>
        <w:t>规范</w:t>
      </w:r>
      <w:r>
        <w:rPr>
          <w:rFonts w:hint="eastAsia" w:ascii="仿宋_GB2312" w:hAnsi="文星仿宋" w:eastAsia="仿宋_GB2312" w:cs="文星仿宋"/>
          <w:color w:val="000000"/>
          <w:sz w:val="32"/>
          <w:szCs w:val="32"/>
          <w:lang w:eastAsia="zh-CN"/>
        </w:rPr>
        <w:t>，</w:t>
      </w:r>
      <w:r>
        <w:rPr>
          <w:rFonts w:hint="eastAsia" w:ascii="仿宋_GB2312" w:eastAsia="仿宋_GB2312"/>
          <w:sz w:val="32"/>
          <w:szCs w:val="32"/>
          <w:lang w:eastAsia="zh-CN"/>
        </w:rPr>
        <w:t>完成</w:t>
      </w:r>
      <w:r>
        <w:rPr>
          <w:rFonts w:hint="eastAsia" w:ascii="仿宋_GB2312" w:eastAsia="仿宋_GB2312"/>
          <w:sz w:val="32"/>
          <w:szCs w:val="32"/>
          <w:lang w:val="en-US" w:eastAsia="zh-CN"/>
        </w:rPr>
        <w:t>了</w:t>
      </w:r>
      <w:r>
        <w:rPr>
          <w:rFonts w:hint="eastAsia" w:ascii="仿宋_GB2312" w:eastAsia="仿宋_GB2312"/>
          <w:sz w:val="32"/>
          <w:szCs w:val="32"/>
          <w:lang w:eastAsia="zh-CN"/>
        </w:rPr>
        <w:t>栏目设计修改。</w:t>
      </w:r>
      <w:r>
        <w:rPr>
          <w:rFonts w:hint="eastAsia" w:ascii="仿宋_GB2312" w:eastAsia="仿宋_GB2312"/>
          <w:sz w:val="32"/>
          <w:szCs w:val="32"/>
          <w:lang w:val="en-US" w:eastAsia="zh-CN"/>
        </w:rPr>
        <w:t>2020年，</w:t>
      </w:r>
      <w:r>
        <w:rPr>
          <w:rFonts w:hint="eastAsia" w:ascii="仿宋_GB2312" w:hAnsi="黑体" w:eastAsia="仿宋_GB2312" w:cs="黑体"/>
          <w:sz w:val="32"/>
          <w:szCs w:val="32"/>
          <w:shd w:val="clear" w:color="auto" w:fill="FFFFFF"/>
        </w:rPr>
        <w:t>新增</w:t>
      </w:r>
      <w:r>
        <w:rPr>
          <w:rFonts w:hint="eastAsia" w:ascii="仿宋_GB2312" w:hAnsi="黑体" w:eastAsia="仿宋_GB2312" w:cs="黑体"/>
          <w:sz w:val="32"/>
          <w:szCs w:val="32"/>
          <w:shd w:val="clear" w:color="auto" w:fill="FFFFFF"/>
          <w:lang w:val="en-US" w:eastAsia="zh-CN"/>
        </w:rPr>
        <w:t>政策文件、政策解读、重大建设项目、“双随机、一公开”、行政执法公示、机构设置等栏目10个，微调政府公报、建议提案办理、财政信息等6个栏目。</w:t>
      </w:r>
      <w:r>
        <w:rPr>
          <w:rFonts w:hint="eastAsia" w:ascii="仿宋_GB2312" w:hAnsi="黑体" w:eastAsia="仿宋_GB2312" w:cs="黑体"/>
          <w:sz w:val="32"/>
          <w:szCs w:val="32"/>
          <w:shd w:val="clear" w:color="auto" w:fill="FFFFFF"/>
        </w:rPr>
        <w:t>优化了智能搜索功能，设置无障碍阅读功能</w:t>
      </w:r>
      <w:r>
        <w:rPr>
          <w:rFonts w:hint="eastAsia" w:ascii="仿宋_GB2312" w:hAnsi="黑体" w:eastAsia="仿宋_GB2312" w:cs="黑体"/>
          <w:sz w:val="32"/>
          <w:szCs w:val="32"/>
          <w:shd w:val="clear" w:color="auto" w:fill="FFFFFF"/>
          <w:lang w:eastAsia="zh-CN"/>
        </w:rPr>
        <w:t>。</w:t>
      </w:r>
      <w:r>
        <w:rPr>
          <w:rFonts w:hint="eastAsia" w:ascii="仿宋_GB2312" w:hAnsi="黑体" w:eastAsia="仿宋_GB2312" w:cs="黑体"/>
          <w:sz w:val="32"/>
          <w:szCs w:val="32"/>
          <w:shd w:val="clear" w:color="auto" w:fill="FFFFFF"/>
          <w:lang w:val="en-US" w:eastAsia="zh-CN"/>
        </w:rPr>
        <w:t>同时，抓好政府网站和政务新媒体监管。依托全国政府网站信息报送系统和全省政务新媒体备案管理系统，对全县纳入备案管理的38个政务新媒体实现常态化监管。2020年，先后排查出域名使用不规范、更新不及时、错敏字等问题152个，均督促相关单位落实整改到位。</w:t>
      </w:r>
    </w:p>
    <w:p>
      <w:pPr>
        <w:pStyle w:val="2"/>
        <w:ind w:left="0" w:leftChars="0" w:firstLine="0" w:firstLineChars="0"/>
        <w:rPr>
          <w:rFonts w:hint="default"/>
          <w:lang w:val="en-US" w:eastAsia="zh-CN"/>
        </w:rPr>
      </w:pPr>
      <w:r>
        <w:rPr>
          <w:rFonts w:hint="default"/>
          <w:lang w:val="en-US" w:eastAsia="zh-CN"/>
        </w:rPr>
        <w:drawing>
          <wp:inline distT="0" distB="0" distL="114300" distR="114300">
            <wp:extent cx="2561590" cy="2471420"/>
            <wp:effectExtent l="0" t="0" r="3810" b="5080"/>
            <wp:docPr id="32" name="图片 32" descr="6fe3e30aba3785359bdf6e0b47e3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fe3e30aba3785359bdf6e0b47e318e"/>
                    <pic:cNvPicPr>
                      <a:picLocks noChangeAspect="1"/>
                    </pic:cNvPicPr>
                  </pic:nvPicPr>
                  <pic:blipFill>
                    <a:blip r:embed="rId23"/>
                    <a:stretch>
                      <a:fillRect/>
                    </a:stretch>
                  </pic:blipFill>
                  <pic:spPr>
                    <a:xfrm>
                      <a:off x="0" y="0"/>
                      <a:ext cx="2561590" cy="247142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45715" cy="2466340"/>
            <wp:effectExtent l="0" t="0" r="6985" b="10160"/>
            <wp:docPr id="33" name="图片 33" descr="f79a4db654ee083ebd9ca6b2ef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79a4db654ee083ebd9ca6b2ef14631"/>
                    <pic:cNvPicPr>
                      <a:picLocks noChangeAspect="1"/>
                    </pic:cNvPicPr>
                  </pic:nvPicPr>
                  <pic:blipFill>
                    <a:blip r:embed="rId24"/>
                    <a:stretch>
                      <a:fillRect/>
                    </a:stretch>
                  </pic:blipFill>
                  <pic:spPr>
                    <a:xfrm>
                      <a:off x="0" y="0"/>
                      <a:ext cx="2545715" cy="246634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32" w:beforeLines="10"/>
        <w:ind w:firstLine="643" w:firstLineChars="200"/>
        <w:textAlignment w:val="auto"/>
        <w:rPr>
          <w:rFonts w:hint="default" w:ascii="仿宋_GB2312" w:hAnsi="黑体" w:eastAsia="仿宋_GB2312" w:cs="黑体"/>
          <w:kern w:val="2"/>
          <w:sz w:val="32"/>
          <w:szCs w:val="32"/>
          <w:shd w:val="clear" w:color="auto" w:fill="FFFFFF"/>
          <w:lang w:val="en-US" w:eastAsia="zh-CN" w:bidi="ar-SA"/>
        </w:rPr>
      </w:pPr>
      <w:r>
        <w:rPr>
          <w:rFonts w:hint="eastAsia" w:ascii="仿宋_GB2312" w:hAnsi="文星仿宋" w:eastAsia="仿宋_GB2312" w:cs="文星仿宋"/>
          <w:b/>
          <w:bCs/>
          <w:color w:val="000000"/>
          <w:sz w:val="32"/>
          <w:szCs w:val="32"/>
          <w:lang w:val="en-US" w:eastAsia="zh-CN"/>
        </w:rPr>
        <w:drawing>
          <wp:anchor distT="0" distB="0" distL="114300" distR="114300" simplePos="0" relativeHeight="251678720" behindDoc="0" locked="0" layoutInCell="1" allowOverlap="1">
            <wp:simplePos x="0" y="0"/>
            <wp:positionH relativeFrom="column">
              <wp:posOffset>2700655</wp:posOffset>
            </wp:positionH>
            <wp:positionV relativeFrom="paragraph">
              <wp:posOffset>3218180</wp:posOffset>
            </wp:positionV>
            <wp:extent cx="2683510" cy="2404745"/>
            <wp:effectExtent l="0" t="0" r="8890"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2683510" cy="2404745"/>
                    </a:xfrm>
                    <a:prstGeom prst="rect">
                      <a:avLst/>
                    </a:prstGeom>
                    <a:noFill/>
                    <a:ln>
                      <a:noFill/>
                    </a:ln>
                  </pic:spPr>
                </pic:pic>
              </a:graphicData>
            </a:graphic>
          </wp:anchor>
        </w:drawing>
      </w:r>
      <w:r>
        <w:rPr>
          <w:rFonts w:hint="eastAsia" w:ascii="仿宋_GB2312" w:hAnsi="文星仿宋" w:eastAsia="仿宋_GB2312" w:cs="文星仿宋"/>
          <w:b/>
          <w:bCs/>
          <w:color w:val="000000"/>
          <w:sz w:val="32"/>
          <w:szCs w:val="32"/>
          <w:lang w:val="en-US" w:eastAsia="zh-CN"/>
        </w:rPr>
        <w:drawing>
          <wp:anchor distT="0" distB="0" distL="114300" distR="114300" simplePos="0" relativeHeight="251677696" behindDoc="0" locked="0" layoutInCell="1" allowOverlap="1">
            <wp:simplePos x="0" y="0"/>
            <wp:positionH relativeFrom="column">
              <wp:posOffset>-6985</wp:posOffset>
            </wp:positionH>
            <wp:positionV relativeFrom="paragraph">
              <wp:posOffset>3252470</wp:posOffset>
            </wp:positionV>
            <wp:extent cx="2497455" cy="2383155"/>
            <wp:effectExtent l="0" t="0" r="4445" b="4445"/>
            <wp:wrapTopAndBottom/>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6"/>
                    <a:stretch>
                      <a:fillRect/>
                    </a:stretch>
                  </pic:blipFill>
                  <pic:spPr>
                    <a:xfrm>
                      <a:off x="0" y="0"/>
                      <a:ext cx="2497455" cy="2383155"/>
                    </a:xfrm>
                    <a:prstGeom prst="rect">
                      <a:avLst/>
                    </a:prstGeom>
                    <a:noFill/>
                    <a:ln>
                      <a:noFill/>
                    </a:ln>
                  </pic:spPr>
                </pic:pic>
              </a:graphicData>
            </a:graphic>
          </wp:anchor>
        </w:drawing>
      </w:r>
      <w:r>
        <w:rPr>
          <w:rFonts w:hint="eastAsia" w:ascii="仿宋_GB2312" w:hAnsi="文星仿宋" w:eastAsia="仿宋_GB2312" w:cs="文星仿宋"/>
          <w:b/>
          <w:bCs/>
          <w:color w:val="000000"/>
          <w:kern w:val="2"/>
          <w:sz w:val="32"/>
          <w:szCs w:val="32"/>
          <w:lang w:val="en-US" w:eastAsia="zh-CN" w:bidi="ar-SA"/>
        </w:rPr>
        <w:t>2、加强政务公开机构设置。</w:t>
      </w:r>
      <w:r>
        <w:rPr>
          <w:rFonts w:hint="eastAsia" w:ascii="仿宋_GB2312" w:hAnsi="黑体" w:eastAsia="仿宋_GB2312" w:cs="黑体"/>
          <w:kern w:val="2"/>
          <w:sz w:val="32"/>
          <w:szCs w:val="32"/>
          <w:shd w:val="clear" w:color="auto" w:fill="FFFFFF"/>
          <w:lang w:val="en-US" w:eastAsia="zh-CN" w:bidi="ar-SA"/>
        </w:rPr>
        <w:t>及时调整</w:t>
      </w:r>
      <w:r>
        <w:rPr>
          <w:rFonts w:hint="default" w:ascii="仿宋_GB2312" w:hAnsi="黑体" w:eastAsia="仿宋_GB2312" w:cs="黑体"/>
          <w:kern w:val="2"/>
          <w:sz w:val="32"/>
          <w:szCs w:val="32"/>
          <w:shd w:val="clear" w:color="auto" w:fill="FFFFFF"/>
          <w:lang w:val="en-US" w:eastAsia="zh-CN" w:bidi="ar-SA"/>
        </w:rPr>
        <w:t>县政府信息公开领导小组，</w:t>
      </w:r>
      <w:r>
        <w:rPr>
          <w:rFonts w:hint="eastAsia" w:ascii="仿宋_GB2312" w:hAnsi="黑体" w:eastAsia="仿宋_GB2312" w:cs="黑体"/>
          <w:kern w:val="2"/>
          <w:sz w:val="32"/>
          <w:szCs w:val="32"/>
          <w:shd w:val="clear" w:color="auto" w:fill="FFFFFF"/>
          <w:lang w:val="en-US" w:eastAsia="zh-CN" w:bidi="ar-SA"/>
        </w:rPr>
        <w:t>进一步理顺协调管理机制，形成工作合力。在</w:t>
      </w:r>
      <w:r>
        <w:rPr>
          <w:rFonts w:hint="default" w:ascii="仿宋_GB2312" w:hAnsi="黑体" w:eastAsia="仿宋_GB2312" w:cs="黑体"/>
          <w:kern w:val="2"/>
          <w:sz w:val="32"/>
          <w:szCs w:val="32"/>
          <w:shd w:val="clear" w:color="auto" w:fill="FFFFFF"/>
          <w:lang w:val="en-US" w:eastAsia="zh-CN" w:bidi="ar-SA"/>
        </w:rPr>
        <w:t>县政府办公室</w:t>
      </w:r>
      <w:r>
        <w:rPr>
          <w:rFonts w:hint="eastAsia" w:ascii="仿宋_GB2312" w:hAnsi="黑体" w:eastAsia="仿宋_GB2312" w:cs="黑体"/>
          <w:kern w:val="2"/>
          <w:sz w:val="32"/>
          <w:szCs w:val="32"/>
          <w:shd w:val="clear" w:color="auto" w:fill="FFFFFF"/>
          <w:lang w:val="en-US" w:eastAsia="zh-CN" w:bidi="ar-SA"/>
        </w:rPr>
        <w:t>设立政务公开办公室，</w:t>
      </w:r>
      <w:r>
        <w:rPr>
          <w:rFonts w:hint="default" w:ascii="仿宋_GB2312" w:hAnsi="黑体" w:eastAsia="仿宋_GB2312" w:cs="黑体"/>
          <w:kern w:val="2"/>
          <w:sz w:val="32"/>
          <w:szCs w:val="32"/>
          <w:shd w:val="clear" w:color="auto" w:fill="FFFFFF"/>
          <w:lang w:val="en-US" w:eastAsia="zh-CN" w:bidi="ar-SA"/>
        </w:rPr>
        <w:t>负责</w:t>
      </w:r>
      <w:r>
        <w:rPr>
          <w:rFonts w:hint="eastAsia" w:ascii="仿宋_GB2312" w:hAnsi="黑体" w:eastAsia="仿宋_GB2312" w:cs="黑体"/>
          <w:kern w:val="2"/>
          <w:sz w:val="32"/>
          <w:szCs w:val="32"/>
          <w:shd w:val="clear" w:color="auto" w:fill="FFFFFF"/>
          <w:lang w:val="en-US" w:eastAsia="zh-CN" w:bidi="ar-SA"/>
        </w:rPr>
        <w:t>推进协调监督全县政务公开</w:t>
      </w:r>
      <w:r>
        <w:rPr>
          <w:rFonts w:hint="default" w:ascii="仿宋_GB2312" w:hAnsi="黑体" w:eastAsia="仿宋_GB2312" w:cs="黑体"/>
          <w:kern w:val="2"/>
          <w:sz w:val="32"/>
          <w:szCs w:val="32"/>
          <w:shd w:val="clear" w:color="auto" w:fill="FFFFFF"/>
          <w:lang w:val="en-US" w:eastAsia="zh-CN" w:bidi="ar-SA"/>
        </w:rPr>
        <w:t>工作，配备工作人员3名。16个乡镇（街道、开发区）和县政府5</w:t>
      </w:r>
      <w:r>
        <w:rPr>
          <w:rFonts w:hint="eastAsia" w:ascii="仿宋_GB2312" w:hAnsi="黑体" w:eastAsia="仿宋_GB2312" w:cs="黑体"/>
          <w:kern w:val="2"/>
          <w:sz w:val="32"/>
          <w:szCs w:val="32"/>
          <w:shd w:val="clear" w:color="auto" w:fill="FFFFFF"/>
          <w:lang w:val="en-US" w:eastAsia="zh-CN" w:bidi="ar-SA"/>
        </w:rPr>
        <w:t>0</w:t>
      </w:r>
      <w:r>
        <w:rPr>
          <w:rFonts w:hint="default" w:ascii="仿宋_GB2312" w:hAnsi="黑体" w:eastAsia="仿宋_GB2312" w:cs="黑体"/>
          <w:kern w:val="2"/>
          <w:sz w:val="32"/>
          <w:szCs w:val="32"/>
          <w:shd w:val="clear" w:color="auto" w:fill="FFFFFF"/>
          <w:lang w:val="en-US" w:eastAsia="zh-CN" w:bidi="ar-SA"/>
        </w:rPr>
        <w:t>个部门</w:t>
      </w:r>
      <w:r>
        <w:rPr>
          <w:rFonts w:hint="eastAsia" w:ascii="仿宋_GB2312" w:hAnsi="黑体" w:eastAsia="仿宋_GB2312" w:cs="黑体"/>
          <w:kern w:val="2"/>
          <w:sz w:val="32"/>
          <w:szCs w:val="32"/>
          <w:shd w:val="clear" w:color="auto" w:fill="FFFFFF"/>
          <w:lang w:val="en-US" w:eastAsia="zh-CN" w:bidi="ar-SA"/>
        </w:rPr>
        <w:t>也明确了</w:t>
      </w:r>
      <w:r>
        <w:rPr>
          <w:rFonts w:hint="default" w:ascii="仿宋_GB2312" w:hAnsi="黑体" w:eastAsia="仿宋_GB2312" w:cs="黑体"/>
          <w:kern w:val="2"/>
          <w:sz w:val="32"/>
          <w:szCs w:val="32"/>
          <w:shd w:val="clear" w:color="auto" w:fill="FFFFFF"/>
          <w:lang w:val="en-US" w:eastAsia="zh-CN" w:bidi="ar-SA"/>
        </w:rPr>
        <w:t>分管</w:t>
      </w:r>
      <w:r>
        <w:rPr>
          <w:rFonts w:hint="eastAsia" w:ascii="仿宋_GB2312" w:hAnsi="黑体" w:eastAsia="仿宋_GB2312" w:cs="黑体"/>
          <w:kern w:val="2"/>
          <w:sz w:val="32"/>
          <w:szCs w:val="32"/>
          <w:shd w:val="clear" w:color="auto" w:fill="FFFFFF"/>
          <w:lang w:val="en-US" w:eastAsia="zh-CN" w:bidi="ar-SA"/>
        </w:rPr>
        <w:t>领导、工作机构和责任人员</w:t>
      </w:r>
      <w:r>
        <w:rPr>
          <w:rFonts w:hint="default" w:ascii="仿宋_GB2312" w:hAnsi="黑体" w:eastAsia="仿宋_GB2312" w:cs="黑体"/>
          <w:kern w:val="2"/>
          <w:sz w:val="32"/>
          <w:szCs w:val="32"/>
          <w:shd w:val="clear" w:color="auto" w:fill="FFFFFF"/>
          <w:lang w:val="en-US" w:eastAsia="zh-CN" w:bidi="ar-SA"/>
        </w:rPr>
        <w:t>，</w:t>
      </w:r>
      <w:r>
        <w:rPr>
          <w:rFonts w:hint="eastAsia" w:ascii="仿宋_GB2312" w:hAnsi="黑体" w:eastAsia="仿宋_GB2312" w:cs="黑体"/>
          <w:kern w:val="2"/>
          <w:sz w:val="32"/>
          <w:szCs w:val="32"/>
          <w:shd w:val="clear" w:color="auto" w:fill="FFFFFF"/>
          <w:lang w:val="en-US" w:eastAsia="zh-CN" w:bidi="ar-SA"/>
        </w:rPr>
        <w:t>形成有人负责、有人干事的工作格局。同时，在</w:t>
      </w:r>
      <w:r>
        <w:rPr>
          <w:rFonts w:hint="eastAsia" w:hAnsi="黑体" w:cs="黑体"/>
          <w:kern w:val="2"/>
          <w:sz w:val="32"/>
          <w:szCs w:val="32"/>
          <w:shd w:val="clear" w:color="auto" w:fill="FFFFFF"/>
          <w:lang w:val="en-US" w:eastAsia="zh-CN" w:bidi="ar-SA"/>
        </w:rPr>
        <w:t>县政府</w:t>
      </w:r>
      <w:r>
        <w:rPr>
          <w:rFonts w:hint="eastAsia" w:ascii="仿宋_GB2312" w:hAnsi="黑体" w:eastAsia="仿宋_GB2312" w:cs="黑体"/>
          <w:kern w:val="2"/>
          <w:sz w:val="32"/>
          <w:szCs w:val="32"/>
          <w:shd w:val="clear" w:color="auto" w:fill="FFFFFF"/>
          <w:lang w:val="en-US" w:eastAsia="zh-CN" w:bidi="ar-SA"/>
        </w:rPr>
        <w:t>网站</w:t>
      </w:r>
      <w:r>
        <w:rPr>
          <w:rFonts w:hint="eastAsia" w:hAnsi="黑体" w:cs="黑体"/>
          <w:kern w:val="2"/>
          <w:sz w:val="32"/>
          <w:szCs w:val="32"/>
          <w:shd w:val="clear" w:color="auto" w:fill="FFFFFF"/>
          <w:lang w:val="en-US" w:eastAsia="zh-CN" w:bidi="ar-SA"/>
        </w:rPr>
        <w:t>设置专栏，集中</w:t>
      </w:r>
      <w:r>
        <w:rPr>
          <w:rFonts w:hint="eastAsia" w:ascii="仿宋_GB2312" w:hAnsi="黑体" w:eastAsia="仿宋_GB2312" w:cs="黑体"/>
          <w:kern w:val="2"/>
          <w:sz w:val="32"/>
          <w:szCs w:val="32"/>
          <w:shd w:val="clear" w:color="auto" w:fill="FFFFFF"/>
          <w:lang w:val="en-US" w:eastAsia="zh-CN" w:bidi="ar-SA"/>
        </w:rPr>
        <w:t>公开</w:t>
      </w:r>
      <w:r>
        <w:rPr>
          <w:rFonts w:hint="eastAsia" w:hAnsi="黑体" w:cs="黑体"/>
          <w:kern w:val="2"/>
          <w:sz w:val="32"/>
          <w:szCs w:val="32"/>
          <w:shd w:val="clear" w:color="auto" w:fill="FFFFFF"/>
          <w:lang w:val="en-US" w:eastAsia="zh-CN" w:bidi="ar-SA"/>
        </w:rPr>
        <w:t>各单位</w:t>
      </w:r>
      <w:r>
        <w:rPr>
          <w:rFonts w:hint="default" w:ascii="仿宋_GB2312" w:hAnsi="黑体" w:eastAsia="仿宋_GB2312" w:cs="黑体"/>
          <w:kern w:val="2"/>
          <w:sz w:val="32"/>
          <w:szCs w:val="32"/>
          <w:shd w:val="clear" w:color="auto" w:fill="FFFFFF"/>
          <w:lang w:val="en-US" w:eastAsia="zh-CN" w:bidi="ar-SA"/>
        </w:rPr>
        <w:t>机构职能、机构信息、办公地址、办公电话、负责人姓名等信息。</w:t>
      </w:r>
    </w:p>
    <w:p>
      <w:pPr>
        <w:pStyle w:val="2"/>
        <w:rPr>
          <w:rFonts w:hint="eastAsia" w:ascii="仿宋_GB2312" w:eastAsia="仿宋_GB2312"/>
          <w:sz w:val="32"/>
          <w:szCs w:val="32"/>
          <w:lang w:eastAsia="zh-CN"/>
        </w:rPr>
      </w:pPr>
      <w:r>
        <w:rPr>
          <w:rFonts w:hint="eastAsia" w:ascii="仿宋_GB2312" w:hAnsi="文星仿宋" w:eastAsia="仿宋_GB2312" w:cs="文星仿宋"/>
          <w:b/>
          <w:bCs/>
          <w:color w:val="000000"/>
          <w:sz w:val="32"/>
          <w:szCs w:val="32"/>
          <w:lang w:val="en-US" w:eastAsia="zh-CN"/>
        </w:rPr>
        <w:t>3、积极开展政府开放日活动。</w:t>
      </w:r>
      <w:r>
        <w:rPr>
          <w:rFonts w:hint="eastAsia" w:eastAsia="仿宋_GB2312"/>
          <w:sz w:val="32"/>
          <w:szCs w:val="32"/>
          <w:lang w:val="en-US" w:eastAsia="zh-CN"/>
        </w:rPr>
        <w:t>聚焦公众关切和重点民生事项，围绕优化营商环境、城市管理服务、民生保障等重点任务，组织各部门多渠道、多方位、多角度开展“政府开放日”活动，邀请市民走进行政机关、深入内部流程、体验政府工作，与市民座谈交流，听民意察民情解民忧，</w:t>
      </w:r>
      <w:r>
        <w:rPr>
          <w:rFonts w:hint="eastAsia"/>
          <w:lang w:eastAsia="zh-CN"/>
        </w:rPr>
        <w:t>搭建政府与群众之间的沟通桥梁，增强政府公信力、凝聚力和执行力。</w:t>
      </w:r>
      <w:r>
        <w:rPr>
          <w:rFonts w:hint="eastAsia" w:ascii="仿宋_GB2312" w:eastAsia="仿宋_GB2312"/>
          <w:sz w:val="32"/>
          <w:szCs w:val="32"/>
          <w:lang w:val="en-US" w:eastAsia="zh-CN"/>
        </w:rPr>
        <w:t>2020</w:t>
      </w:r>
      <w:r>
        <w:rPr>
          <w:rFonts w:hint="eastAsia" w:ascii="仿宋_GB2312" w:eastAsia="仿宋_GB2312"/>
          <w:sz w:val="32"/>
          <w:szCs w:val="32"/>
        </w:rPr>
        <w:t>年度全</w:t>
      </w:r>
      <w:r>
        <w:rPr>
          <w:rFonts w:hint="eastAsia" w:ascii="仿宋_GB2312" w:eastAsia="仿宋_GB2312"/>
          <w:sz w:val="32"/>
          <w:szCs w:val="32"/>
          <w:lang w:val="en-US" w:eastAsia="zh-CN"/>
        </w:rPr>
        <w:t>县</w:t>
      </w:r>
      <w:r>
        <w:rPr>
          <w:rFonts w:hint="eastAsia" w:ascii="仿宋_GB2312" w:eastAsia="仿宋_GB2312"/>
          <w:sz w:val="32"/>
          <w:szCs w:val="32"/>
        </w:rPr>
        <w:t>组织开展“政府开放日”活动</w:t>
      </w:r>
      <w:r>
        <w:rPr>
          <w:rFonts w:hint="eastAsia" w:ascii="仿宋_GB2312" w:eastAsia="仿宋_GB2312"/>
          <w:sz w:val="32"/>
          <w:szCs w:val="32"/>
          <w:lang w:val="en-US" w:eastAsia="zh-CN"/>
        </w:rPr>
        <w:t>44</w:t>
      </w:r>
      <w:r>
        <w:rPr>
          <w:rFonts w:hint="eastAsia" w:ascii="仿宋_GB2312" w:eastAsia="仿宋_GB2312"/>
          <w:sz w:val="32"/>
          <w:szCs w:val="32"/>
        </w:rPr>
        <w:t>余次</w:t>
      </w:r>
      <w:r>
        <w:rPr>
          <w:rFonts w:hint="eastAsia" w:ascii="仿宋_GB2312" w:eastAsia="仿宋_GB2312"/>
          <w:sz w:val="32"/>
          <w:szCs w:val="32"/>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600" w:lineRule="exact"/>
        <w:ind w:left="0" w:right="0" w:firstLine="643" w:firstLineChars="200"/>
        <w:jc w:val="both"/>
        <w:textAlignment w:val="auto"/>
        <w:rPr>
          <w:rFonts w:hint="eastAsia" w:ascii="仿宋_GB2312" w:hAnsi="仿宋" w:eastAsia="仿宋_GB2312" w:cs="仿宋"/>
          <w:spacing w:val="0"/>
          <w:sz w:val="32"/>
          <w:szCs w:val="32"/>
        </w:rPr>
      </w:pPr>
      <w:r>
        <w:rPr>
          <w:rFonts w:hint="eastAsia" w:ascii="仿宋_GB2312" w:hAnsi="文星仿宋" w:eastAsia="仿宋_GB2312" w:cs="文星仿宋"/>
          <w:b/>
          <w:bCs/>
          <w:color w:val="000000"/>
          <w:spacing w:val="0"/>
          <w:sz w:val="32"/>
          <w:szCs w:val="32"/>
          <w:lang w:val="en-US" w:eastAsia="zh-CN"/>
        </w:rPr>
        <w:drawing>
          <wp:anchor distT="0" distB="0" distL="114300" distR="114300" simplePos="0" relativeHeight="251675648" behindDoc="0" locked="0" layoutInCell="1" allowOverlap="1">
            <wp:simplePos x="0" y="0"/>
            <wp:positionH relativeFrom="column">
              <wp:posOffset>3596005</wp:posOffset>
            </wp:positionH>
            <wp:positionV relativeFrom="page">
              <wp:posOffset>1420495</wp:posOffset>
            </wp:positionV>
            <wp:extent cx="1622425" cy="2009140"/>
            <wp:effectExtent l="0" t="0" r="3175" b="10160"/>
            <wp:wrapTopAndBottom/>
            <wp:docPr id="3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56"/>
                    <pic:cNvPicPr>
                      <a:picLocks noChangeAspect="1"/>
                    </pic:cNvPicPr>
                  </pic:nvPicPr>
                  <pic:blipFill>
                    <a:blip r:embed="rId27"/>
                    <a:stretch>
                      <a:fillRect/>
                    </a:stretch>
                  </pic:blipFill>
                  <pic:spPr>
                    <a:xfrm>
                      <a:off x="0" y="0"/>
                      <a:ext cx="1622425" cy="2009140"/>
                    </a:xfrm>
                    <a:prstGeom prst="rect">
                      <a:avLst/>
                    </a:prstGeom>
                    <a:noFill/>
                    <a:ln w="9525">
                      <a:noFill/>
                    </a:ln>
                  </pic:spPr>
                </pic:pic>
              </a:graphicData>
            </a:graphic>
          </wp:anchor>
        </w:drawing>
      </w:r>
      <w:r>
        <w:rPr>
          <w:rFonts w:hint="eastAsia" w:ascii="仿宋_GB2312" w:hAnsi="文星仿宋" w:eastAsia="仿宋_GB2312" w:cs="文星仿宋"/>
          <w:b/>
          <w:bCs/>
          <w:color w:val="000000"/>
          <w:spacing w:val="0"/>
          <w:sz w:val="32"/>
          <w:szCs w:val="32"/>
          <w:lang w:val="en-US" w:eastAsia="zh-CN"/>
        </w:rPr>
        <w:drawing>
          <wp:anchor distT="0" distB="0" distL="114300" distR="114300" simplePos="0" relativeHeight="251676672" behindDoc="0" locked="0" layoutInCell="1" allowOverlap="1">
            <wp:simplePos x="0" y="0"/>
            <wp:positionH relativeFrom="column">
              <wp:posOffset>1812290</wp:posOffset>
            </wp:positionH>
            <wp:positionV relativeFrom="paragraph">
              <wp:posOffset>50800</wp:posOffset>
            </wp:positionV>
            <wp:extent cx="1734185" cy="2032000"/>
            <wp:effectExtent l="0" t="0" r="5715" b="0"/>
            <wp:wrapTopAndBottom/>
            <wp:docPr id="3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56"/>
                    <pic:cNvPicPr>
                      <a:picLocks noChangeAspect="1"/>
                    </pic:cNvPicPr>
                  </pic:nvPicPr>
                  <pic:blipFill>
                    <a:blip r:embed="rId28"/>
                    <a:stretch>
                      <a:fillRect/>
                    </a:stretch>
                  </pic:blipFill>
                  <pic:spPr>
                    <a:xfrm>
                      <a:off x="0" y="0"/>
                      <a:ext cx="1734185" cy="2032000"/>
                    </a:xfrm>
                    <a:prstGeom prst="rect">
                      <a:avLst/>
                    </a:prstGeom>
                    <a:noFill/>
                    <a:ln w="9525">
                      <a:noFill/>
                    </a:ln>
                  </pic:spPr>
                </pic:pic>
              </a:graphicData>
            </a:graphic>
          </wp:anchor>
        </w:drawing>
      </w:r>
      <w:r>
        <w:rPr>
          <w:rFonts w:hint="eastAsia" w:ascii="仿宋_GB2312" w:hAnsi="文星仿宋" w:eastAsia="仿宋_GB2312" w:cs="文星仿宋"/>
          <w:b/>
          <w:bCs/>
          <w:color w:val="000000"/>
          <w:spacing w:val="0"/>
          <w:sz w:val="32"/>
          <w:szCs w:val="32"/>
          <w:lang w:val="en-US" w:eastAsia="zh-CN"/>
        </w:rPr>
        <w:drawing>
          <wp:anchor distT="0" distB="0" distL="114300" distR="114300" simplePos="0" relativeHeight="251674624" behindDoc="0" locked="0" layoutInCell="1" allowOverlap="1">
            <wp:simplePos x="0" y="0"/>
            <wp:positionH relativeFrom="column">
              <wp:posOffset>-14605</wp:posOffset>
            </wp:positionH>
            <wp:positionV relativeFrom="paragraph">
              <wp:posOffset>52705</wp:posOffset>
            </wp:positionV>
            <wp:extent cx="1736725" cy="2049780"/>
            <wp:effectExtent l="0" t="0" r="3175" b="7620"/>
            <wp:wrapTopAndBottom/>
            <wp:docPr id="3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IMG_256"/>
                    <pic:cNvPicPr>
                      <a:picLocks noChangeAspect="1"/>
                    </pic:cNvPicPr>
                  </pic:nvPicPr>
                  <pic:blipFill>
                    <a:blip r:embed="rId29"/>
                    <a:stretch>
                      <a:fillRect/>
                    </a:stretch>
                  </pic:blipFill>
                  <pic:spPr>
                    <a:xfrm>
                      <a:off x="0" y="0"/>
                      <a:ext cx="1736725" cy="2049780"/>
                    </a:xfrm>
                    <a:prstGeom prst="rect">
                      <a:avLst/>
                    </a:prstGeom>
                    <a:noFill/>
                    <a:ln w="9525">
                      <a:noFill/>
                    </a:ln>
                  </pic:spPr>
                </pic:pic>
              </a:graphicData>
            </a:graphic>
          </wp:anchor>
        </w:drawing>
      </w:r>
      <w:r>
        <w:rPr>
          <w:rFonts w:hint="eastAsia" w:ascii="仿宋_GB2312" w:hAnsi="文星仿宋" w:eastAsia="仿宋_GB2312" w:cs="文星仿宋"/>
          <w:b/>
          <w:bCs/>
          <w:color w:val="000000"/>
          <w:spacing w:val="0"/>
          <w:sz w:val="32"/>
          <w:szCs w:val="32"/>
          <w:lang w:val="en-US" w:eastAsia="zh-CN"/>
        </w:rPr>
        <w:t>4、丰富创新解读形式。</w:t>
      </w:r>
      <w:r>
        <w:rPr>
          <w:rFonts w:hint="eastAsia" w:ascii="仿宋_GB2312" w:eastAsia="仿宋_GB2312" w:hAnsiTheme="minorHAnsi"/>
          <w:spacing w:val="0"/>
          <w:sz w:val="32"/>
          <w:szCs w:val="22"/>
        </w:rPr>
        <w:t>在</w:t>
      </w:r>
      <w:r>
        <w:rPr>
          <w:rFonts w:hint="eastAsia" w:ascii="仿宋_GB2312" w:eastAsia="仿宋_GB2312" w:hAnsiTheme="minorHAnsi"/>
          <w:spacing w:val="0"/>
          <w:sz w:val="32"/>
          <w:szCs w:val="22"/>
          <w:lang w:val="en-US" w:eastAsia="zh-CN"/>
        </w:rPr>
        <w:t>县</w:t>
      </w:r>
      <w:r>
        <w:rPr>
          <w:rFonts w:hint="eastAsia" w:ascii="仿宋_GB2312" w:eastAsia="仿宋_GB2312" w:hAnsiTheme="minorHAnsi"/>
          <w:spacing w:val="0"/>
          <w:sz w:val="32"/>
          <w:szCs w:val="22"/>
        </w:rPr>
        <w:t>政府网站</w:t>
      </w:r>
      <w:r>
        <w:rPr>
          <w:rFonts w:hint="eastAsia" w:ascii="仿宋_GB2312" w:eastAsia="仿宋_GB2312" w:hAnsiTheme="minorHAnsi"/>
          <w:spacing w:val="0"/>
          <w:sz w:val="32"/>
          <w:szCs w:val="22"/>
          <w:lang w:val="en-US" w:eastAsia="zh-CN"/>
        </w:rPr>
        <w:t>新设</w:t>
      </w:r>
      <w:r>
        <w:rPr>
          <w:rFonts w:hint="eastAsia" w:ascii="仿宋_GB2312" w:eastAsia="仿宋_GB2312" w:hAnsiTheme="minorHAnsi"/>
          <w:spacing w:val="0"/>
          <w:sz w:val="32"/>
          <w:szCs w:val="22"/>
        </w:rPr>
        <w:t>政策解读</w:t>
      </w:r>
      <w:r>
        <w:rPr>
          <w:rFonts w:hint="eastAsia" w:ascii="仿宋_GB2312" w:eastAsia="仿宋_GB2312" w:hAnsiTheme="minorHAnsi"/>
          <w:spacing w:val="0"/>
          <w:sz w:val="32"/>
          <w:szCs w:val="22"/>
          <w:lang w:val="en-US" w:eastAsia="zh-CN"/>
        </w:rPr>
        <w:t>专栏，采用</w:t>
      </w:r>
      <w:r>
        <w:rPr>
          <w:rFonts w:hint="eastAsia" w:ascii="仿宋" w:hAnsi="仿宋" w:eastAsia="仿宋" w:cs="仿宋"/>
          <w:i w:val="0"/>
          <w:caps w:val="0"/>
          <w:color w:val="000000"/>
          <w:spacing w:val="0"/>
          <w:sz w:val="32"/>
          <w:szCs w:val="32"/>
          <w:lang w:val="en-US" w:eastAsia="zh-CN"/>
        </w:rPr>
        <w:t>文字解读、一把手解读、图文解读、音频解读、简明问答、视频解读、动漫解读、新闻发布会等</w:t>
      </w:r>
      <w:r>
        <w:rPr>
          <w:rFonts w:hint="eastAsia" w:ascii="仿宋_GB2312" w:eastAsia="仿宋_GB2312" w:hAnsiTheme="minorHAnsi"/>
          <w:spacing w:val="0"/>
          <w:sz w:val="32"/>
          <w:szCs w:val="22"/>
        </w:rPr>
        <w:t>多样化的解读方式，</w:t>
      </w:r>
      <w:r>
        <w:rPr>
          <w:rFonts w:hint="eastAsia" w:ascii="仿宋_GB2312" w:eastAsia="仿宋_GB2312" w:hAnsiTheme="minorHAnsi"/>
          <w:spacing w:val="0"/>
          <w:sz w:val="32"/>
          <w:szCs w:val="22"/>
          <w:lang w:val="en-US" w:eastAsia="zh-CN"/>
        </w:rPr>
        <w:t>对</w:t>
      </w:r>
      <w:r>
        <w:rPr>
          <w:rFonts w:hint="eastAsia" w:ascii="仿宋_GB2312" w:hAnsi="仿宋_GB2312" w:eastAsia="仿宋_GB2312" w:cs="仿宋_GB2312"/>
          <w:spacing w:val="0"/>
          <w:kern w:val="0"/>
          <w:sz w:val="32"/>
          <w:szCs w:val="32"/>
          <w:lang w:eastAsia="zh-CN"/>
        </w:rPr>
        <w:t>政策背景、决策依据</w:t>
      </w:r>
      <w:r>
        <w:rPr>
          <w:rFonts w:hint="eastAsia" w:ascii="仿宋_GB2312" w:hAnsi="仿宋_GB2312" w:eastAsia="仿宋_GB2312" w:cs="仿宋_GB2312"/>
          <w:spacing w:val="0"/>
          <w:kern w:val="0"/>
          <w:sz w:val="32"/>
          <w:szCs w:val="32"/>
        </w:rPr>
        <w:t>、</w:t>
      </w:r>
      <w:r>
        <w:rPr>
          <w:rFonts w:hint="eastAsia" w:ascii="仿宋_GB2312" w:hAnsi="仿宋_GB2312" w:eastAsia="仿宋_GB2312" w:cs="仿宋_GB2312"/>
          <w:spacing w:val="0"/>
          <w:kern w:val="0"/>
          <w:sz w:val="32"/>
          <w:szCs w:val="32"/>
          <w:lang w:eastAsia="zh-CN"/>
        </w:rPr>
        <w:t>出台目的、重要举措、</w:t>
      </w:r>
      <w:r>
        <w:rPr>
          <w:rFonts w:hint="eastAsia" w:ascii="仿宋_GB2312" w:hAnsi="仿宋_GB2312" w:eastAsia="仿宋_GB2312" w:cs="仿宋_GB2312"/>
          <w:spacing w:val="0"/>
          <w:kern w:val="0"/>
          <w:sz w:val="32"/>
          <w:szCs w:val="32"/>
        </w:rPr>
        <w:t>目标任务、主要内容、涉及范围、执行标准，以及注意事项、惠民利民举措、新旧政策差异等</w:t>
      </w:r>
      <w:r>
        <w:rPr>
          <w:rFonts w:hint="eastAsia" w:ascii="仿宋_GB2312" w:hAnsi="仿宋_GB2312" w:eastAsia="仿宋_GB2312" w:cs="仿宋_GB2312"/>
          <w:spacing w:val="0"/>
          <w:kern w:val="0"/>
          <w:sz w:val="32"/>
          <w:szCs w:val="32"/>
          <w:lang w:val="en-US" w:eastAsia="zh-CN"/>
        </w:rPr>
        <w:t>进行解读，</w:t>
      </w:r>
      <w:r>
        <w:rPr>
          <w:rFonts w:hint="eastAsia" w:ascii="仿宋_GB2312" w:eastAsia="仿宋_GB2312" w:hAnsiTheme="minorHAnsi"/>
          <w:spacing w:val="0"/>
          <w:sz w:val="32"/>
          <w:szCs w:val="22"/>
        </w:rPr>
        <w:t>帮助</w:t>
      </w:r>
      <w:r>
        <w:rPr>
          <w:rFonts w:hint="eastAsia" w:ascii="仿宋_GB2312" w:eastAsia="仿宋_GB2312" w:hAnsiTheme="minorHAnsi"/>
          <w:spacing w:val="0"/>
          <w:sz w:val="32"/>
          <w:szCs w:val="22"/>
          <w:lang w:val="en-US" w:eastAsia="zh-CN"/>
        </w:rPr>
        <w:t>群众</w:t>
      </w:r>
      <w:r>
        <w:rPr>
          <w:rFonts w:hint="eastAsia" w:ascii="仿宋_GB2312" w:eastAsia="仿宋_GB2312" w:hAnsiTheme="minorHAnsi"/>
          <w:spacing w:val="0"/>
          <w:sz w:val="32"/>
          <w:szCs w:val="22"/>
        </w:rPr>
        <w:t>更好的了解相关政策文件。</w:t>
      </w:r>
      <w:r>
        <w:rPr>
          <w:rFonts w:hint="eastAsia" w:ascii="仿宋_GB2312" w:eastAsia="仿宋_GB2312" w:hAnsiTheme="minorHAnsi"/>
          <w:spacing w:val="0"/>
          <w:sz w:val="32"/>
          <w:szCs w:val="22"/>
          <w:lang w:val="en-US" w:eastAsia="zh-CN"/>
        </w:rPr>
        <w:t>目前，已实现2020年全县制发的33个政策文件解读全覆盖</w:t>
      </w:r>
      <w:r>
        <w:rPr>
          <w:rFonts w:hint="eastAsia" w:ascii="仿宋_GB2312" w:hAnsi="仿宋" w:eastAsia="仿宋_GB2312" w:cs="仿宋"/>
          <w:spacing w:val="0"/>
          <w:sz w:val="32"/>
          <w:szCs w:val="32"/>
        </w:rPr>
        <w:t>。</w:t>
      </w:r>
    </w:p>
    <w:p>
      <w:pPr>
        <w:pStyle w:val="2"/>
        <w:ind w:left="0" w:leftChars="0" w:firstLine="0" w:firstLineChars="0"/>
        <w:rPr>
          <w:rFonts w:hint="default"/>
          <w:lang w:val="en-US" w:eastAsia="zh-CN"/>
        </w:rPr>
      </w:pPr>
      <w:r>
        <w:rPr>
          <w:rFonts w:hint="eastAsia" w:ascii="仿宋_GB2312" w:hAnsi="文星仿宋" w:eastAsia="仿宋_GB2312" w:cs="文星仿宋"/>
          <w:b/>
          <w:bCs/>
          <w:color w:val="000000"/>
          <w:sz w:val="32"/>
          <w:szCs w:val="32"/>
          <w:lang w:val="en-US" w:eastAsia="zh-CN"/>
        </w:rPr>
        <w:drawing>
          <wp:inline distT="0" distB="0" distL="114300" distR="114300">
            <wp:extent cx="5423535" cy="3001010"/>
            <wp:effectExtent l="0" t="0" r="12065" b="889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0"/>
                    <a:stretch>
                      <a:fillRect/>
                    </a:stretch>
                  </pic:blipFill>
                  <pic:spPr>
                    <a:xfrm>
                      <a:off x="0" y="0"/>
                      <a:ext cx="5423535" cy="30010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文星仿宋" w:eastAsia="仿宋_GB2312" w:cs="文星仿宋"/>
          <w:b/>
          <w:bCs/>
          <w:color w:val="000000"/>
          <w:sz w:val="32"/>
          <w:szCs w:val="32"/>
          <w:lang w:val="en-US" w:eastAsia="zh-CN"/>
        </w:rPr>
        <w:t>5、推动政府公报发展。</w:t>
      </w:r>
      <w:r>
        <w:rPr>
          <w:rFonts w:hint="eastAsia" w:ascii="仿宋_GB2312" w:eastAsia="仿宋_GB2312" w:hAnsiTheme="minorHAnsi"/>
          <w:sz w:val="32"/>
          <w:szCs w:val="22"/>
          <w:lang w:val="en-US" w:eastAsia="zh-CN"/>
        </w:rPr>
        <w:t>为进一步提升</w:t>
      </w:r>
      <w:r>
        <w:rPr>
          <w:rFonts w:hint="eastAsia" w:ascii="仿宋_GB2312" w:hAnsi="仿宋_GB2312" w:eastAsia="仿宋_GB2312" w:cs="仿宋_GB2312"/>
          <w:kern w:val="0"/>
          <w:sz w:val="32"/>
          <w:szCs w:val="32"/>
          <w:lang w:val="en-US" w:eastAsia="zh-CN" w:bidi="ar"/>
        </w:rPr>
        <w:t>政府公报规范性,加快推进政府公报数字化工作，</w:t>
      </w:r>
      <w:r>
        <w:rPr>
          <w:rFonts w:hint="eastAsia" w:ascii="仿宋_GB2312" w:eastAsia="仿宋_GB2312"/>
          <w:sz w:val="32"/>
          <w:szCs w:val="32"/>
          <w:lang w:val="en-US" w:eastAsia="zh-CN"/>
        </w:rPr>
        <w:t>增强政府公报可获取性和便民性，</w:t>
      </w:r>
      <w:r>
        <w:rPr>
          <w:rFonts w:hint="eastAsia" w:ascii="仿宋_GB2312" w:hAnsi="仿宋_GB2312" w:eastAsia="仿宋_GB2312" w:cs="仿宋_GB2312"/>
          <w:kern w:val="0"/>
          <w:sz w:val="32"/>
          <w:szCs w:val="32"/>
          <w:lang w:val="en-US" w:eastAsia="zh-CN" w:bidi="ar"/>
        </w:rPr>
        <w:t xml:space="preserve">在县政府网站设立政府公报专栏，提供政府公报目录导航和内容检索，推出政府公报手机版，实现二维码扫描获取政府公报电子版。2020年度刊发政府公报5期。  </w:t>
      </w:r>
    </w:p>
    <w:p>
      <w:pPr>
        <w:pStyle w:val="2"/>
        <w:ind w:left="0" w:leftChars="0" w:firstLine="0" w:firstLineChars="0"/>
        <w:rPr>
          <w:rFonts w:hint="default"/>
          <w:lang w:val="en-US" w:eastAsia="zh-CN"/>
        </w:rPr>
      </w:pPr>
      <w:r>
        <w:drawing>
          <wp:inline distT="0" distB="0" distL="114300" distR="114300">
            <wp:extent cx="5275580" cy="3369310"/>
            <wp:effectExtent l="0" t="0" r="7620" b="889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1"/>
                    <a:stretch>
                      <a:fillRect/>
                    </a:stretch>
                  </pic:blipFill>
                  <pic:spPr>
                    <a:xfrm>
                      <a:off x="0" y="0"/>
                      <a:ext cx="5275580" cy="33693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kern w:val="0"/>
          <w:sz w:val="32"/>
          <w:szCs w:val="32"/>
          <w:lang w:val="en-US" w:eastAsia="zh-CN" w:bidi="ar"/>
        </w:rPr>
      </w:pPr>
      <w:r>
        <w:rPr>
          <w:rFonts w:hint="default" w:ascii="楷体_GB2312" w:hAnsi="楷体_GB2312" w:eastAsia="楷体_GB2312" w:cs="楷体_GB2312"/>
          <w:b w:val="0"/>
          <w:kern w:val="0"/>
          <w:sz w:val="32"/>
          <w:szCs w:val="32"/>
          <w:lang w:val="en-US" w:eastAsia="zh-CN" w:bidi="ar"/>
        </w:rPr>
        <w:t>（五）监督保障</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楷体_GB2312" w:eastAsia="仿宋_GB2312"/>
          <w:sz w:val="32"/>
          <w:szCs w:val="32"/>
        </w:rPr>
      </w:pPr>
      <w:r>
        <w:rPr>
          <w:rFonts w:hint="eastAsia" w:ascii="仿宋_GB2312" w:hAnsi="文星仿宋" w:eastAsia="仿宋_GB2312" w:cs="文星仿宋"/>
          <w:b/>
          <w:bCs/>
          <w:color w:val="000000"/>
          <w:sz w:val="32"/>
          <w:szCs w:val="32"/>
          <w:lang w:val="en-US" w:eastAsia="zh-CN"/>
        </w:rPr>
        <w:t>1、不断完善督导考核机制。</w:t>
      </w:r>
      <w:r>
        <w:rPr>
          <w:rFonts w:hint="eastAsia" w:ascii="仿宋_GB2312" w:hAnsi="黑体" w:eastAsia="仿宋_GB2312"/>
          <w:sz w:val="32"/>
          <w:szCs w:val="32"/>
          <w:lang w:val="en-US" w:eastAsia="zh-CN"/>
        </w:rPr>
        <w:t>建立健全政府信息公开工作考核制度、社会评议制度和责任追究制度。印发</w:t>
      </w:r>
      <w:r>
        <w:rPr>
          <w:rFonts w:hint="eastAsia" w:ascii="仿宋_GB2312" w:hAnsi="黑体" w:eastAsia="仿宋_GB2312"/>
          <w:sz w:val="32"/>
          <w:szCs w:val="32"/>
        </w:rPr>
        <w:t>《沂南县政务公开考核办法》，将政务公开考核成绩纳入对</w:t>
      </w:r>
      <w:r>
        <w:rPr>
          <w:rFonts w:hint="eastAsia" w:ascii="仿宋_GB2312" w:hAnsi="黑体" w:eastAsia="仿宋_GB2312"/>
          <w:sz w:val="32"/>
          <w:szCs w:val="32"/>
          <w:lang w:val="en-US" w:eastAsia="zh-CN"/>
        </w:rPr>
        <w:t>县直</w:t>
      </w:r>
      <w:r>
        <w:rPr>
          <w:rFonts w:hint="eastAsia" w:ascii="仿宋_GB2312" w:hAnsi="黑体" w:eastAsia="仿宋_GB2312"/>
          <w:sz w:val="32"/>
          <w:szCs w:val="32"/>
        </w:rPr>
        <w:t>各单位经济社会发展综合考核，并提高考核占比。</w:t>
      </w:r>
      <w:r>
        <w:rPr>
          <w:rFonts w:hint="eastAsia" w:ascii="仿宋_GB2312" w:hAnsi="黑体" w:eastAsia="仿宋_GB2312"/>
          <w:sz w:val="32"/>
          <w:szCs w:val="32"/>
          <w:lang w:val="en-US" w:eastAsia="zh-CN"/>
        </w:rPr>
        <w:t>进一步</w:t>
      </w:r>
      <w:r>
        <w:rPr>
          <w:rFonts w:hint="eastAsia" w:ascii="仿宋_GB2312" w:hAnsi="黑体" w:eastAsia="仿宋_GB2312"/>
          <w:sz w:val="32"/>
          <w:szCs w:val="32"/>
        </w:rPr>
        <w:t>加大日常考核督查力度，建立了工作台账，对各单位信息公开情况</w:t>
      </w:r>
      <w:r>
        <w:rPr>
          <w:rFonts w:hint="eastAsia" w:ascii="仿宋_GB2312" w:hAnsi="黑体" w:eastAsia="仿宋_GB2312"/>
          <w:sz w:val="32"/>
          <w:szCs w:val="32"/>
          <w:lang w:val="en-US" w:eastAsia="zh-CN"/>
        </w:rPr>
        <w:t>一</w:t>
      </w:r>
      <w:r>
        <w:rPr>
          <w:rFonts w:hint="eastAsia" w:ascii="仿宋_GB2312" w:hAnsi="黑体" w:eastAsia="仿宋_GB2312"/>
          <w:sz w:val="32"/>
          <w:szCs w:val="32"/>
        </w:rPr>
        <w:t>月一调度</w:t>
      </w:r>
      <w:r>
        <w:rPr>
          <w:rFonts w:hint="eastAsia" w:ascii="仿宋_GB2312" w:hAnsi="黑体" w:eastAsia="仿宋_GB2312"/>
          <w:sz w:val="32"/>
          <w:szCs w:val="32"/>
          <w:lang w:eastAsia="zh-CN"/>
        </w:rPr>
        <w:t>、</w:t>
      </w:r>
      <w:r>
        <w:rPr>
          <w:rFonts w:hint="eastAsia" w:ascii="仿宋_GB2312" w:hAnsi="黑体" w:eastAsia="仿宋_GB2312"/>
          <w:sz w:val="32"/>
          <w:szCs w:val="32"/>
          <w:lang w:val="en-US" w:eastAsia="zh-CN"/>
        </w:rPr>
        <w:t>一季度一</w:t>
      </w:r>
      <w:r>
        <w:rPr>
          <w:rFonts w:hint="eastAsia" w:ascii="仿宋_GB2312" w:hAnsi="黑体" w:eastAsia="仿宋_GB2312"/>
          <w:sz w:val="32"/>
          <w:szCs w:val="32"/>
        </w:rPr>
        <w:t>通报，对重点领域信息公开情况等开展专项督查，推动各项任务落实。今年以来，先后对</w:t>
      </w:r>
      <w:r>
        <w:rPr>
          <w:rFonts w:hint="eastAsia" w:ascii="仿宋_GB2312" w:hAnsi="楷体_GB2312" w:eastAsia="仿宋_GB2312"/>
          <w:sz w:val="32"/>
          <w:szCs w:val="32"/>
        </w:rPr>
        <w:t>年报发布、公开工作开展情况、网站内容保障、第三方反馈问题整改等</w:t>
      </w:r>
      <w:r>
        <w:rPr>
          <w:rFonts w:hint="eastAsia" w:ascii="仿宋_GB2312" w:hAnsi="黑体" w:eastAsia="仿宋_GB2312"/>
          <w:sz w:val="32"/>
          <w:szCs w:val="32"/>
        </w:rPr>
        <w:t>开展专项督导</w:t>
      </w:r>
      <w:r>
        <w:rPr>
          <w:rFonts w:hint="eastAsia" w:ascii="仿宋_GB2312" w:hAnsi="黑体" w:eastAsia="仿宋_GB2312"/>
          <w:sz w:val="32"/>
          <w:szCs w:val="32"/>
          <w:lang w:val="en-US" w:eastAsia="zh-CN"/>
        </w:rPr>
        <w:t>6</w:t>
      </w:r>
      <w:r>
        <w:rPr>
          <w:rFonts w:hint="eastAsia" w:ascii="仿宋_GB2312" w:hAnsi="黑体" w:eastAsia="仿宋_GB2312"/>
          <w:sz w:val="32"/>
          <w:szCs w:val="32"/>
        </w:rPr>
        <w:t>次，下发通报</w:t>
      </w:r>
      <w:r>
        <w:rPr>
          <w:rFonts w:hint="eastAsia" w:ascii="仿宋_GB2312" w:hAnsi="黑体" w:eastAsia="仿宋_GB2312"/>
          <w:sz w:val="32"/>
          <w:szCs w:val="32"/>
          <w:lang w:val="en-US" w:eastAsia="zh-CN"/>
        </w:rPr>
        <w:t>3</w:t>
      </w:r>
      <w:r>
        <w:rPr>
          <w:rFonts w:hint="eastAsia" w:ascii="仿宋_GB2312" w:hAnsi="黑体" w:eastAsia="仿宋_GB2312"/>
          <w:sz w:val="32"/>
          <w:szCs w:val="32"/>
        </w:rPr>
        <w:t>期，有力带动了</w:t>
      </w:r>
      <w:r>
        <w:rPr>
          <w:rFonts w:hint="eastAsia" w:ascii="仿宋_GB2312" w:hAnsi="楷体_GB2312" w:eastAsia="仿宋_GB2312"/>
          <w:sz w:val="32"/>
          <w:szCs w:val="32"/>
        </w:rPr>
        <w:t>各单位政务公开工作积极性和主动性。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right="0" w:firstLine="643" w:firstLineChars="200"/>
        <w:jc w:val="both"/>
        <w:textAlignment w:val="auto"/>
        <w:rPr>
          <w:rFonts w:hint="default" w:ascii="Times New Roman" w:hAnsi="Times New Roman" w:eastAsia="仿宋_GB2312" w:cs="Times New Roman"/>
          <w:i w:val="0"/>
          <w:caps w:val="0"/>
          <w:color w:val="000000"/>
          <w:spacing w:val="0"/>
          <w:kern w:val="0"/>
          <w:sz w:val="32"/>
          <w:szCs w:val="32"/>
          <w:shd w:val="clear" w:fill="FFFFFF"/>
          <w:lang w:val="en-US" w:eastAsia="zh-CN" w:bidi="ar"/>
        </w:rPr>
      </w:pPr>
      <w:r>
        <w:rPr>
          <w:rFonts w:hint="eastAsia" w:ascii="仿宋_GB2312" w:hAnsi="文星仿宋" w:eastAsia="仿宋_GB2312" w:cs="文星仿宋"/>
          <w:b/>
          <w:bCs/>
          <w:color w:val="000000"/>
          <w:sz w:val="32"/>
          <w:szCs w:val="32"/>
          <w:lang w:val="en-US" w:eastAsia="zh-CN"/>
        </w:rPr>
        <w:t>2、</w:t>
      </w:r>
      <w:r>
        <w:rPr>
          <w:rFonts w:hint="default" w:ascii="仿宋_GB2312" w:hAnsi="文星仿宋" w:eastAsia="仿宋_GB2312" w:cs="文星仿宋"/>
          <w:b/>
          <w:bCs/>
          <w:color w:val="000000"/>
          <w:sz w:val="32"/>
          <w:szCs w:val="32"/>
          <w:lang w:val="en-US" w:eastAsia="zh-CN"/>
        </w:rPr>
        <w:t>强化业务培训指导。</w:t>
      </w:r>
      <w:r>
        <w:rPr>
          <w:rFonts w:hint="eastAsia" w:eastAsia="仿宋_GB2312" w:cs="Times New Roman"/>
          <w:i w:val="0"/>
          <w:caps w:val="0"/>
          <w:color w:val="000000"/>
          <w:spacing w:val="0"/>
          <w:kern w:val="0"/>
          <w:sz w:val="32"/>
          <w:szCs w:val="32"/>
          <w:shd w:val="clear" w:fill="FFFFFF"/>
          <w:lang w:val="en-US" w:eastAsia="zh-CN" w:bidi="ar"/>
        </w:rPr>
        <w:t>根据年度工作重点和要点，制定有针对性的培训计划，</w:t>
      </w:r>
      <w:r>
        <w:rPr>
          <w:rFonts w:ascii="仿宋_GB2312" w:hAnsi="宋体" w:eastAsia="仿宋_GB2312" w:cs="仿宋_GB2312"/>
          <w:i w:val="0"/>
          <w:caps w:val="0"/>
          <w:color w:val="000000"/>
          <w:spacing w:val="0"/>
          <w:sz w:val="32"/>
          <w:szCs w:val="32"/>
          <w:shd w:val="clear" w:fill="FFFFFF"/>
        </w:rPr>
        <w:t>在</w:t>
      </w:r>
      <w:r>
        <w:rPr>
          <w:rFonts w:hint="eastAsia" w:ascii="仿宋_GB2312" w:hAnsi="宋体" w:eastAsia="仿宋_GB2312" w:cs="仿宋_GB2312"/>
          <w:i w:val="0"/>
          <w:caps w:val="0"/>
          <w:color w:val="000000"/>
          <w:spacing w:val="0"/>
          <w:sz w:val="32"/>
          <w:szCs w:val="32"/>
          <w:shd w:val="clear" w:fill="FFFFFF"/>
          <w:lang w:val="en-US" w:eastAsia="zh-CN"/>
        </w:rPr>
        <w:t>全面推进基层政务公开标准化规范化工作</w:t>
      </w:r>
      <w:r>
        <w:rPr>
          <w:rFonts w:hint="default" w:ascii="仿宋_GB2312" w:hAnsi="宋体" w:eastAsia="仿宋_GB2312" w:cs="仿宋_GB2312"/>
          <w:i w:val="0"/>
          <w:caps w:val="0"/>
          <w:color w:val="000000"/>
          <w:spacing w:val="0"/>
          <w:sz w:val="32"/>
          <w:szCs w:val="32"/>
          <w:shd w:val="clear" w:fill="FFFFFF"/>
        </w:rPr>
        <w:t>、省市第三方评估等关键节点，</w:t>
      </w:r>
      <w:r>
        <w:rPr>
          <w:rFonts w:hint="eastAsia" w:ascii="仿宋_GB2312" w:hAnsi="宋体" w:eastAsia="仿宋_GB2312" w:cs="仿宋_GB2312"/>
          <w:i w:val="0"/>
          <w:caps w:val="0"/>
          <w:color w:val="000000"/>
          <w:spacing w:val="0"/>
          <w:sz w:val="32"/>
          <w:szCs w:val="32"/>
          <w:shd w:val="clear" w:fill="FFFFFF"/>
          <w:lang w:val="en-US" w:eastAsia="zh-CN"/>
        </w:rPr>
        <w:t>采取共性问题集中培训，个性问题专题培训等形式，进行</w:t>
      </w:r>
      <w:r>
        <w:rPr>
          <w:rFonts w:hint="default" w:ascii="仿宋_GB2312" w:hAnsi="宋体" w:eastAsia="仿宋_GB2312" w:cs="仿宋_GB2312"/>
          <w:i w:val="0"/>
          <w:caps w:val="0"/>
          <w:color w:val="000000"/>
          <w:spacing w:val="0"/>
          <w:sz w:val="32"/>
          <w:szCs w:val="32"/>
          <w:shd w:val="clear" w:fill="FFFFFF"/>
        </w:rPr>
        <w:t>集中培训、专题培训和点对点轮训等多种方式</w:t>
      </w:r>
      <w:r>
        <w:rPr>
          <w:rFonts w:hint="eastAsia" w:ascii="仿宋_GB2312" w:hAnsi="宋体" w:eastAsia="仿宋_GB2312" w:cs="仿宋_GB2312"/>
          <w:i w:val="0"/>
          <w:caps w:val="0"/>
          <w:color w:val="000000"/>
          <w:spacing w:val="0"/>
          <w:sz w:val="32"/>
          <w:szCs w:val="32"/>
          <w:shd w:val="clear" w:fill="FFFFFF"/>
          <w:lang w:eastAsia="zh-CN"/>
        </w:rPr>
        <w:t>，</w:t>
      </w:r>
      <w:r>
        <w:rPr>
          <w:rFonts w:hint="eastAsia" w:ascii="仿宋_GB2312" w:hAnsi="宋体" w:eastAsia="仿宋_GB2312" w:cs="仿宋_GB2312"/>
          <w:i w:val="0"/>
          <w:caps w:val="0"/>
          <w:color w:val="000000"/>
          <w:spacing w:val="0"/>
          <w:sz w:val="32"/>
          <w:szCs w:val="32"/>
          <w:shd w:val="clear" w:fill="FFFFFF"/>
          <w:lang w:val="en-US" w:eastAsia="zh-CN"/>
        </w:rPr>
        <w:t>传达上级政策，分析存在问题，交流工作经验</w:t>
      </w:r>
      <w:r>
        <w:rPr>
          <w:rFonts w:hint="default" w:ascii="仿宋_GB2312" w:hAnsi="宋体" w:eastAsia="仿宋_GB2312" w:cs="仿宋_GB2312"/>
          <w:i w:val="0"/>
          <w:caps w:val="0"/>
          <w:color w:val="000000"/>
          <w:spacing w:val="0"/>
          <w:sz w:val="32"/>
          <w:szCs w:val="32"/>
          <w:shd w:val="clear" w:fill="FFFFFF"/>
        </w:rPr>
        <w:t>，</w:t>
      </w:r>
      <w:r>
        <w:rPr>
          <w:rFonts w:hint="eastAsia" w:ascii="仿宋_GB2312" w:hAnsi="宋体" w:eastAsia="仿宋_GB2312" w:cs="仿宋_GB2312"/>
          <w:i w:val="0"/>
          <w:caps w:val="0"/>
          <w:color w:val="000000"/>
          <w:spacing w:val="0"/>
          <w:sz w:val="32"/>
          <w:szCs w:val="32"/>
          <w:shd w:val="clear" w:fill="FFFFFF"/>
          <w:lang w:val="en-US" w:eastAsia="zh-CN"/>
        </w:rPr>
        <w:t>全面提升了全县政务公开人员业务水平。</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2</w:t>
      </w:r>
      <w:r>
        <w:rPr>
          <w:rFonts w:hint="eastAsia" w:eastAsia="微软雅黑" w:cs="Times New Roman"/>
          <w:i w:val="0"/>
          <w:caps w:val="0"/>
          <w:color w:val="000000"/>
          <w:spacing w:val="0"/>
          <w:kern w:val="0"/>
          <w:sz w:val="32"/>
          <w:szCs w:val="32"/>
          <w:shd w:val="clear" w:fill="FFFFFF"/>
          <w:lang w:val="en-US" w:eastAsia="zh-CN" w:bidi="ar"/>
        </w:rPr>
        <w:t>020</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年，共组织召开各类政务公开培训会议</w:t>
      </w:r>
      <w:r>
        <w:rPr>
          <w:rFonts w:hint="eastAsia" w:eastAsia="微软雅黑" w:cs="Times New Roman"/>
          <w:i w:val="0"/>
          <w:caps w:val="0"/>
          <w:color w:val="000000"/>
          <w:spacing w:val="0"/>
          <w:kern w:val="0"/>
          <w:sz w:val="32"/>
          <w:szCs w:val="32"/>
          <w:shd w:val="clear" w:fill="FFFFFF"/>
          <w:lang w:val="en-US" w:eastAsia="zh-CN" w:bidi="ar"/>
        </w:rPr>
        <w:t>6</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次，覆盖参训人员</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200</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余人次。</w:t>
      </w:r>
    </w:p>
    <w:p>
      <w:pPr>
        <w:pStyle w:val="2"/>
        <w:ind w:left="0" w:leftChars="0" w:firstLine="0" w:firstLineChars="0"/>
      </w:pPr>
      <w:r>
        <w:rPr>
          <w:rFonts w:hint="eastAsia" w:ascii="仿宋" w:hAnsi="仿宋" w:eastAsia="仿宋" w:cs="仿宋"/>
          <w:i w:val="0"/>
          <w:caps w:val="0"/>
          <w:color w:val="000000"/>
          <w:spacing w:val="0"/>
          <w:sz w:val="32"/>
          <w:szCs w:val="32"/>
          <w:bdr w:val="single" w:color="CCCCCC" w:sz="4" w:space="0"/>
        </w:rPr>
        <w:drawing>
          <wp:inline distT="0" distB="0" distL="114300" distR="114300">
            <wp:extent cx="2496185" cy="2850515"/>
            <wp:effectExtent l="0" t="0" r="5715" b="6985"/>
            <wp:docPr id="42"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IMG_257"/>
                    <pic:cNvPicPr>
                      <a:picLocks noChangeAspect="1"/>
                    </pic:cNvPicPr>
                  </pic:nvPicPr>
                  <pic:blipFill>
                    <a:blip r:embed="rId32"/>
                    <a:stretch>
                      <a:fillRect/>
                    </a:stretch>
                  </pic:blipFill>
                  <pic:spPr>
                    <a:xfrm>
                      <a:off x="0" y="0"/>
                      <a:ext cx="2496185" cy="2850515"/>
                    </a:xfrm>
                    <a:prstGeom prst="rect">
                      <a:avLst/>
                    </a:prstGeom>
                    <a:noFill/>
                    <a:ln>
                      <a:noFill/>
                    </a:ln>
                  </pic:spPr>
                </pic:pic>
              </a:graphicData>
            </a:graphic>
          </wp:inline>
        </w:drawing>
      </w:r>
      <w:r>
        <w:drawing>
          <wp:inline distT="0" distB="0" distL="114300" distR="114300">
            <wp:extent cx="2726055" cy="2853690"/>
            <wp:effectExtent l="0" t="0" r="4445" b="381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3"/>
                    <a:stretch>
                      <a:fillRect/>
                    </a:stretch>
                  </pic:blipFill>
                  <pic:spPr>
                    <a:xfrm>
                      <a:off x="0" y="0"/>
                      <a:ext cx="2726055" cy="28536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kern w:val="0"/>
          <w:sz w:val="32"/>
          <w:szCs w:val="32"/>
          <w:lang w:val="en-US" w:eastAsia="zh-CN" w:bidi="ar"/>
        </w:rPr>
      </w:pPr>
      <w:r>
        <w:rPr>
          <w:rFonts w:hint="default" w:ascii="楷体_GB2312" w:hAnsi="楷体_GB2312" w:eastAsia="楷体_GB2312" w:cs="楷体_GB2312"/>
          <w:b w:val="0"/>
          <w:kern w:val="0"/>
          <w:sz w:val="32"/>
          <w:szCs w:val="32"/>
          <w:lang w:val="en-US" w:eastAsia="zh-CN" w:bidi="ar"/>
        </w:rPr>
        <w:t>（</w:t>
      </w:r>
      <w:r>
        <w:rPr>
          <w:rFonts w:hint="eastAsia" w:ascii="楷体_GB2312" w:hAnsi="楷体_GB2312" w:eastAsia="楷体_GB2312" w:cs="楷体_GB2312"/>
          <w:b w:val="0"/>
          <w:kern w:val="0"/>
          <w:sz w:val="32"/>
          <w:szCs w:val="32"/>
          <w:lang w:val="en-US" w:eastAsia="zh-CN" w:bidi="ar"/>
        </w:rPr>
        <w:t>六</w:t>
      </w:r>
      <w:r>
        <w:rPr>
          <w:rFonts w:hint="default" w:ascii="楷体_GB2312" w:hAnsi="楷体_GB2312" w:eastAsia="楷体_GB2312" w:cs="楷体_GB2312"/>
          <w:b w:val="0"/>
          <w:kern w:val="0"/>
          <w:sz w:val="32"/>
          <w:szCs w:val="32"/>
          <w:lang w:val="en-US" w:eastAsia="zh-CN" w:bidi="ar"/>
        </w:rPr>
        <w:t>）</w:t>
      </w:r>
      <w:r>
        <w:rPr>
          <w:rFonts w:hint="eastAsia" w:ascii="楷体_GB2312" w:hAnsi="楷体_GB2312" w:eastAsia="楷体_GB2312" w:cs="楷体_GB2312"/>
          <w:b w:val="0"/>
          <w:kern w:val="0"/>
          <w:sz w:val="32"/>
          <w:szCs w:val="32"/>
          <w:lang w:val="en-US" w:eastAsia="zh-CN" w:bidi="ar"/>
        </w:rPr>
        <w:t>建议提案办理结果公开情况</w:t>
      </w:r>
    </w:p>
    <w:p>
      <w:pPr>
        <w:pStyle w:val="2"/>
        <w:rPr>
          <w:rFonts w:hint="eastAsia" w:cs="Times New Roman"/>
          <w:sz w:val="32"/>
          <w:szCs w:val="32"/>
          <w:lang w:val="en-US" w:eastAsia="zh-CN"/>
        </w:rPr>
      </w:pPr>
      <w:r>
        <w:rPr>
          <w:rFonts w:hint="eastAsia" w:ascii="仿宋_GB2312" w:eastAsia="仿宋_GB2312"/>
          <w:color w:val="000000" w:themeColor="text1"/>
          <w:sz w:val="32"/>
          <w:szCs w:val="32"/>
          <w:lang w:val="en-US" w:eastAsia="zh-CN"/>
          <w14:textFill>
            <w14:solidFill>
              <w14:schemeClr w14:val="tx1"/>
            </w14:solidFill>
          </w14:textFill>
        </w:rPr>
        <w:t>在县政府网站设立人大建议和政协提案办理</w:t>
      </w:r>
      <w:r>
        <w:rPr>
          <w:rFonts w:hint="eastAsia" w:ascii="仿宋_GB2312" w:eastAsia="仿宋_GB2312"/>
          <w:color w:val="000000" w:themeColor="text1"/>
          <w:sz w:val="32"/>
          <w:szCs w:val="32"/>
          <w14:textFill>
            <w14:solidFill>
              <w14:schemeClr w14:val="tx1"/>
            </w14:solidFill>
          </w14:textFill>
        </w:rPr>
        <w:t>专栏，</w:t>
      </w:r>
      <w:r>
        <w:rPr>
          <w:rFonts w:hint="eastAsia" w:ascii="仿宋_GB2312" w:eastAsia="仿宋_GB2312"/>
          <w:color w:val="000000" w:themeColor="text1"/>
          <w:sz w:val="32"/>
          <w:szCs w:val="32"/>
          <w:lang w:val="en-US" w:eastAsia="zh-CN"/>
          <w14:textFill>
            <w14:solidFill>
              <w14:schemeClr w14:val="tx1"/>
            </w14:solidFill>
          </w14:textFill>
        </w:rPr>
        <w:t>增加关键字搜索功能，</w:t>
      </w:r>
      <w:r>
        <w:rPr>
          <w:rFonts w:hint="eastAsia"/>
          <w:color w:val="000000" w:themeColor="text1"/>
          <w:sz w:val="32"/>
          <w:szCs w:val="32"/>
          <w:lang w:val="en-US" w:eastAsia="zh-CN"/>
          <w14:textFill>
            <w14:solidFill>
              <w14:schemeClr w14:val="tx1"/>
            </w14:solidFill>
          </w14:textFill>
        </w:rPr>
        <w:t>制定并公开了《沂南县人民政府办公室关于做好人大建议和政协委员提案办理工作的通知》，</w:t>
      </w:r>
      <w:r>
        <w:rPr>
          <w:rFonts w:hint="eastAsia" w:ascii="仿宋_GB2312" w:eastAsia="仿宋_GB2312"/>
          <w:color w:val="000000" w:themeColor="text1"/>
          <w:sz w:val="32"/>
          <w:szCs w:val="32"/>
          <w14:textFill>
            <w14:solidFill>
              <w14:schemeClr w14:val="tx1"/>
            </w14:solidFill>
          </w14:textFill>
        </w:rPr>
        <w:t>对</w:t>
      </w:r>
      <w:r>
        <w:rPr>
          <w:rFonts w:hint="eastAsia" w:ascii="仿宋_GB2312" w:eastAsia="仿宋_GB2312"/>
          <w:color w:val="000000" w:themeColor="text1"/>
          <w:sz w:val="32"/>
          <w:szCs w:val="32"/>
          <w:lang w:val="en-US" w:eastAsia="zh-CN"/>
          <w14:textFill>
            <w14:solidFill>
              <w14:schemeClr w14:val="tx1"/>
            </w14:solidFill>
          </w14:textFill>
        </w:rPr>
        <w:t>全县</w:t>
      </w:r>
      <w:r>
        <w:rPr>
          <w:rFonts w:hint="eastAsia" w:ascii="仿宋_GB2312" w:eastAsia="仿宋_GB2312"/>
          <w:color w:val="000000" w:themeColor="text1"/>
          <w:sz w:val="32"/>
          <w:szCs w:val="32"/>
          <w14:textFill>
            <w14:solidFill>
              <w14:schemeClr w14:val="tx1"/>
            </w14:solidFill>
          </w14:textFill>
        </w:rPr>
        <w:t>人大代表建议和政协委员提案</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办理制度和总体情况以及答复</w:t>
      </w:r>
      <w:r>
        <w:rPr>
          <w:rFonts w:hint="eastAsia" w:ascii="Times New Roman" w:cs="Times New Roman"/>
          <w:i w:val="0"/>
          <w:caps w:val="0"/>
          <w:color w:val="333333"/>
          <w:spacing w:val="0"/>
          <w:kern w:val="0"/>
          <w:sz w:val="32"/>
          <w:szCs w:val="32"/>
          <w:shd w:val="clear" w:fill="FFFFFF"/>
          <w:lang w:val="en-US" w:eastAsia="zh-CN" w:bidi="ar"/>
        </w:rPr>
        <w:t>办理</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情况</w:t>
      </w:r>
      <w:r>
        <w:rPr>
          <w:rFonts w:hint="eastAsia" w:ascii="仿宋_GB2312" w:eastAsia="仿宋_GB2312"/>
          <w:color w:val="000000" w:themeColor="text1"/>
          <w:sz w:val="32"/>
          <w:szCs w:val="32"/>
          <w14:textFill>
            <w14:solidFill>
              <w14:schemeClr w14:val="tx1"/>
            </w14:solidFill>
          </w14:textFill>
        </w:rPr>
        <w:t>进行了</w:t>
      </w:r>
      <w:r>
        <w:rPr>
          <w:rFonts w:hint="eastAsia"/>
          <w:color w:val="000000" w:themeColor="text1"/>
          <w:sz w:val="32"/>
          <w:szCs w:val="32"/>
          <w:lang w:val="en-US" w:eastAsia="zh-CN"/>
          <w14:textFill>
            <w14:solidFill>
              <w14:schemeClr w14:val="tx1"/>
            </w14:solidFill>
          </w14:textFill>
        </w:rPr>
        <w:t>集中发布</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lang w:val="en-US" w:eastAsia="zh-CN"/>
          <w14:textFill>
            <w14:solidFill>
              <w14:schemeClr w14:val="tx1"/>
            </w14:solidFill>
          </w14:textFill>
        </w:rPr>
        <w:t>2020</w:t>
      </w:r>
      <w:r>
        <w:rPr>
          <w:rFonts w:hint="eastAsia" w:ascii="仿宋_GB2312" w:eastAsia="仿宋_GB2312"/>
          <w:color w:val="000000" w:themeColor="text1"/>
          <w:sz w:val="32"/>
          <w:szCs w:val="32"/>
          <w14:textFill>
            <w14:solidFill>
              <w14:schemeClr w14:val="tx1"/>
            </w14:solidFill>
          </w14:textFill>
        </w:rPr>
        <w:t>年共承办</w:t>
      </w:r>
      <w:r>
        <w:rPr>
          <w:rFonts w:hint="eastAsia" w:ascii="仿宋_GB2312" w:eastAsia="仿宋_GB2312"/>
          <w:color w:val="000000" w:themeColor="text1"/>
          <w:sz w:val="32"/>
          <w:szCs w:val="32"/>
          <w:lang w:val="en-US" w:eastAsia="zh-CN"/>
          <w14:textFill>
            <w14:solidFill>
              <w14:schemeClr w14:val="tx1"/>
            </w14:solidFill>
          </w14:textFill>
        </w:rPr>
        <w:t>政协委员提案299</w:t>
      </w:r>
      <w:r>
        <w:rPr>
          <w:rFonts w:hint="eastAsia" w:ascii="仿宋_GB2312" w:eastAsia="仿宋_GB2312"/>
          <w:color w:val="000000" w:themeColor="text1"/>
          <w:sz w:val="32"/>
          <w:szCs w:val="32"/>
          <w14:textFill>
            <w14:solidFill>
              <w14:schemeClr w14:val="tx1"/>
            </w14:solidFill>
          </w14:textFill>
        </w:rPr>
        <w:t>件，人大代表议案</w:t>
      </w:r>
      <w:r>
        <w:rPr>
          <w:rFonts w:hint="eastAsia" w:ascii="仿宋_GB2312" w:eastAsia="仿宋_GB2312"/>
          <w:color w:val="000000" w:themeColor="text1"/>
          <w:sz w:val="32"/>
          <w:szCs w:val="32"/>
          <w:lang w:val="en-US" w:eastAsia="zh-CN"/>
          <w14:textFill>
            <w14:solidFill>
              <w14:schemeClr w14:val="tx1"/>
            </w14:solidFill>
          </w14:textFill>
        </w:rPr>
        <w:t>83</w:t>
      </w:r>
      <w:r>
        <w:rPr>
          <w:rFonts w:hint="eastAsia" w:ascii="仿宋_GB2312" w:eastAsia="仿宋_GB2312"/>
          <w:color w:val="000000" w:themeColor="text1"/>
          <w:sz w:val="32"/>
          <w:szCs w:val="32"/>
          <w14:textFill>
            <w14:solidFill>
              <w14:schemeClr w14:val="tx1"/>
            </w14:solidFill>
          </w14:textFill>
        </w:rPr>
        <w:t>件，</w:t>
      </w:r>
      <w:r>
        <w:rPr>
          <w:rFonts w:hint="eastAsia" w:eastAsia="仿宋_GB2312" w:cs="Times New Roman"/>
          <w:sz w:val="32"/>
          <w:szCs w:val="32"/>
          <w:lang w:val="en-US" w:eastAsia="zh-CN"/>
        </w:rPr>
        <w:t>办复率均为100%</w:t>
      </w:r>
      <w:r>
        <w:rPr>
          <w:rFonts w:hint="eastAsia" w:ascii="仿宋_GB2312" w:eastAsia="仿宋_GB2312"/>
          <w:color w:val="000000" w:themeColor="text1"/>
          <w:sz w:val="32"/>
          <w:szCs w:val="32"/>
          <w:lang w:eastAsia="zh-CN"/>
          <w14:textFill>
            <w14:solidFill>
              <w14:schemeClr w14:val="tx1"/>
            </w14:solidFill>
          </w14:textFill>
        </w:rPr>
        <w:t>，</w:t>
      </w:r>
      <w:r>
        <w:rPr>
          <w:rFonts w:hint="eastAsia" w:eastAsia="仿宋_GB2312" w:cs="Times New Roman"/>
          <w:sz w:val="32"/>
          <w:szCs w:val="32"/>
          <w:lang w:val="en-US" w:eastAsia="zh-CN"/>
        </w:rPr>
        <w:t>除涉及国家秘密、工作秘密的，答复情况均在政府网站进行了公开</w:t>
      </w:r>
      <w:r>
        <w:rPr>
          <w:rFonts w:hint="eastAsia" w:cs="Times New Roman"/>
          <w:sz w:val="32"/>
          <w:szCs w:val="32"/>
          <w:lang w:val="en-US" w:eastAsia="zh-CN"/>
        </w:rPr>
        <w:t>。</w:t>
      </w:r>
    </w:p>
    <w:p>
      <w:pPr>
        <w:pStyle w:val="2"/>
        <w:ind w:left="0" w:leftChars="0" w:firstLine="0" w:firstLineChars="0"/>
        <w:rPr>
          <w:rFonts w:hint="default" w:cs="Times New Roman"/>
          <w:sz w:val="32"/>
          <w:szCs w:val="32"/>
          <w:lang w:val="en-US" w:eastAsia="zh-CN"/>
        </w:rPr>
      </w:pPr>
      <w:r>
        <w:rPr>
          <w:rFonts w:hint="default" w:cs="Times New Roman"/>
          <w:sz w:val="32"/>
          <w:szCs w:val="32"/>
          <w:lang w:val="en-US" w:eastAsia="zh-CN"/>
        </w:rPr>
        <w:drawing>
          <wp:inline distT="0" distB="0" distL="114300" distR="114300">
            <wp:extent cx="5276850" cy="2731135"/>
            <wp:effectExtent l="0" t="0" r="6350" b="1206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34"/>
                    <a:stretch>
                      <a:fillRect/>
                    </a:stretch>
                  </pic:blipFill>
                  <pic:spPr>
                    <a:xfrm>
                      <a:off x="0" y="0"/>
                      <a:ext cx="5276850" cy="2731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2" w:beforeLines="10" w:after="157" w:afterLines="50"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二、主动公开政府信息情况</w:t>
      </w:r>
    </w:p>
    <w:tbl>
      <w:tblPr>
        <w:tblStyle w:val="10"/>
        <w:tblW w:w="9042" w:type="dxa"/>
        <w:jc w:val="center"/>
        <w:tblLayout w:type="fixed"/>
        <w:tblCellMar>
          <w:top w:w="0" w:type="dxa"/>
          <w:left w:w="0" w:type="dxa"/>
          <w:bottom w:w="0" w:type="dxa"/>
          <w:right w:w="0" w:type="dxa"/>
        </w:tblCellMar>
      </w:tblPr>
      <w:tblGrid>
        <w:gridCol w:w="3455"/>
        <w:gridCol w:w="2087"/>
        <w:gridCol w:w="1542"/>
        <w:gridCol w:w="1958"/>
      </w:tblGrid>
      <w:tr>
        <w:tblPrEx>
          <w:tblCellMar>
            <w:top w:w="0" w:type="dxa"/>
            <w:left w:w="0" w:type="dxa"/>
            <w:bottom w:w="0" w:type="dxa"/>
            <w:right w:w="0" w:type="dxa"/>
          </w:tblCellMar>
        </w:tblPrEx>
        <w:trPr>
          <w:trHeight w:val="518" w:hRule="atLeast"/>
          <w:jc w:val="center"/>
        </w:trPr>
        <w:tc>
          <w:tcPr>
            <w:tcW w:w="9042" w:type="dxa"/>
            <w:gridSpan w:val="4"/>
            <w:tcBorders>
              <w:top w:val="single" w:color="auto" w:sz="8" w:space="0"/>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第二十条第（一）项</w:t>
            </w:r>
          </w:p>
        </w:tc>
      </w:tr>
      <w:tr>
        <w:tblPrEx>
          <w:tblCellMar>
            <w:top w:w="0" w:type="dxa"/>
            <w:left w:w="0" w:type="dxa"/>
            <w:bottom w:w="0" w:type="dxa"/>
            <w:right w:w="0" w:type="dxa"/>
          </w:tblCellMar>
        </w:tblPrEx>
        <w:trPr>
          <w:trHeight w:val="90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本年新</w:t>
            </w:r>
            <w:r>
              <w:rPr>
                <w:rFonts w:hint="default" w:ascii="Times New Roman" w:hAnsi="Times New Roman" w:cs="Times New Roman"/>
                <w:color w:val="000000"/>
                <w:kern w:val="0"/>
                <w:sz w:val="22"/>
                <w:szCs w:val="22"/>
              </w:rPr>
              <w:br w:type="textWrapping"/>
            </w:r>
            <w:r>
              <w:rPr>
                <w:rFonts w:hint="default" w:ascii="Times New Roman" w:hAnsi="Times New Roman" w:cs="Times New Roman"/>
                <w:kern w:val="0"/>
                <w:sz w:val="22"/>
                <w:szCs w:val="22"/>
              </w:rPr>
              <w:t>制作数量</w:t>
            </w:r>
          </w:p>
        </w:tc>
        <w:tc>
          <w:tcPr>
            <w:tcW w:w="154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本年新</w:t>
            </w:r>
            <w:r>
              <w:rPr>
                <w:rFonts w:hint="default" w:ascii="Times New Roman" w:hAnsi="Times New Roman" w:cs="Times New Roman"/>
                <w:color w:val="000000"/>
                <w:kern w:val="0"/>
                <w:sz w:val="22"/>
                <w:szCs w:val="22"/>
              </w:rPr>
              <w:br w:type="textWrapping"/>
            </w:r>
            <w:r>
              <w:rPr>
                <w:rFonts w:hint="default" w:ascii="Times New Roman" w:hAnsi="Times New Roman" w:cs="Times New Roman"/>
                <w:kern w:val="0"/>
                <w:sz w:val="22"/>
                <w:szCs w:val="22"/>
              </w:rPr>
              <w:t>公开数量</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对外公开总数量</w:t>
            </w:r>
          </w:p>
        </w:tc>
      </w:tr>
      <w:tr>
        <w:tblPrEx>
          <w:tblCellMar>
            <w:top w:w="0" w:type="dxa"/>
            <w:left w:w="0" w:type="dxa"/>
            <w:bottom w:w="0" w:type="dxa"/>
            <w:right w:w="0" w:type="dxa"/>
          </w:tblCellMar>
        </w:tblPrEx>
        <w:trPr>
          <w:trHeight w:val="546"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color w:val="000000"/>
                <w:kern w:val="0"/>
                <w:sz w:val="22"/>
                <w:szCs w:val="22"/>
              </w:rPr>
              <w:t>规章</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r>
      <w:tr>
        <w:tblPrEx>
          <w:tblCellMar>
            <w:top w:w="0" w:type="dxa"/>
            <w:left w:w="0" w:type="dxa"/>
            <w:bottom w:w="0" w:type="dxa"/>
            <w:right w:w="0" w:type="dxa"/>
          </w:tblCellMar>
        </w:tblPrEx>
        <w:trPr>
          <w:trHeight w:val="515"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color w:val="000000"/>
                <w:kern w:val="0"/>
                <w:sz w:val="22"/>
                <w:szCs w:val="22"/>
              </w:rPr>
              <w:t>规范性文件</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color w:val="000000"/>
                <w:kern w:val="0"/>
                <w:sz w:val="22"/>
                <w:szCs w:val="22"/>
                <w:lang w:eastAsia="zh-CN"/>
              </w:rPr>
            </w:pPr>
            <w:r>
              <w:rPr>
                <w:rFonts w:hint="eastAsia" w:cs="Times New Roman"/>
                <w:color w:val="000000"/>
                <w:kern w:val="0"/>
                <w:sz w:val="22"/>
                <w:szCs w:val="22"/>
                <w:lang w:val="en-US" w:eastAsia="zh-CN"/>
              </w:rPr>
              <w:t>8</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color w:val="000000"/>
                <w:kern w:val="0"/>
                <w:sz w:val="22"/>
                <w:szCs w:val="22"/>
                <w:lang w:eastAsia="zh-CN"/>
              </w:rPr>
            </w:pPr>
            <w:r>
              <w:rPr>
                <w:rFonts w:hint="eastAsia" w:cs="Times New Roman"/>
                <w:color w:val="000000"/>
                <w:kern w:val="0"/>
                <w:sz w:val="22"/>
                <w:szCs w:val="22"/>
                <w:lang w:val="en-US" w:eastAsia="zh-CN"/>
              </w:rPr>
              <w:t>8</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color w:val="000000"/>
                <w:kern w:val="0"/>
                <w:sz w:val="22"/>
                <w:szCs w:val="22"/>
                <w:lang w:eastAsia="zh-CN"/>
              </w:rPr>
            </w:pPr>
            <w:r>
              <w:rPr>
                <w:rFonts w:hint="eastAsia" w:cs="Times New Roman"/>
                <w:color w:val="000000"/>
                <w:kern w:val="0"/>
                <w:sz w:val="22"/>
                <w:szCs w:val="22"/>
                <w:lang w:val="en-US" w:eastAsia="zh-CN"/>
              </w:rPr>
              <w:t>8</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第二十条第（五）项</w:t>
            </w:r>
          </w:p>
        </w:tc>
      </w:tr>
      <w:tr>
        <w:tblPrEx>
          <w:tblCellMar>
            <w:top w:w="0" w:type="dxa"/>
            <w:left w:w="0" w:type="dxa"/>
            <w:bottom w:w="0" w:type="dxa"/>
            <w:right w:w="0" w:type="dxa"/>
          </w:tblCellMar>
        </w:tblPrEx>
        <w:trPr>
          <w:trHeight w:val="65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154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处理决定数量</w:t>
            </w:r>
          </w:p>
        </w:tc>
      </w:tr>
      <w:tr>
        <w:tblPrEx>
          <w:tblCellMar>
            <w:top w:w="0" w:type="dxa"/>
            <w:left w:w="0" w:type="dxa"/>
            <w:bottom w:w="0" w:type="dxa"/>
            <w:right w:w="0" w:type="dxa"/>
          </w:tblCellMar>
        </w:tblPrEx>
        <w:trPr>
          <w:trHeight w:val="90"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行政许可</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263</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增169，共432</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20489</w:t>
            </w:r>
          </w:p>
        </w:tc>
      </w:tr>
      <w:tr>
        <w:tblPrEx>
          <w:tblCellMar>
            <w:top w:w="0" w:type="dxa"/>
            <w:left w:w="0" w:type="dxa"/>
            <w:bottom w:w="0" w:type="dxa"/>
            <w:right w:w="0" w:type="dxa"/>
          </w:tblCellMar>
        </w:tblPrEx>
        <w:trPr>
          <w:trHeight w:val="90"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其他对外管理服务事项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auto"/>
                <w:kern w:val="0"/>
                <w:sz w:val="22"/>
                <w:szCs w:val="22"/>
                <w:lang w:val="en-US"/>
              </w:rPr>
            </w:pPr>
            <w:r>
              <w:rPr>
                <w:rFonts w:hint="eastAsia" w:cs="Times New Roman"/>
                <w:color w:val="auto"/>
                <w:kern w:val="0"/>
                <w:sz w:val="22"/>
                <w:szCs w:val="22"/>
                <w:lang w:val="en-US" w:eastAsia="zh-CN"/>
              </w:rPr>
              <w:t>514</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增475</w:t>
            </w:r>
            <w:r>
              <w:rPr>
                <w:rFonts w:hint="eastAsia" w:cs="Times New Roman"/>
                <w:color w:val="auto"/>
                <w:kern w:val="0"/>
                <w:sz w:val="22"/>
                <w:szCs w:val="22"/>
                <w:lang w:eastAsia="zh-CN"/>
              </w:rPr>
              <w:t>，</w:t>
            </w:r>
            <w:r>
              <w:rPr>
                <w:rFonts w:hint="eastAsia" w:cs="Times New Roman"/>
                <w:color w:val="auto"/>
                <w:kern w:val="0"/>
                <w:sz w:val="22"/>
                <w:szCs w:val="22"/>
                <w:lang w:val="en-US" w:eastAsia="zh-CN"/>
              </w:rPr>
              <w:t>共989</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11024</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第二十条第（六）项</w:t>
            </w:r>
          </w:p>
        </w:tc>
      </w:tr>
      <w:tr>
        <w:tblPrEx>
          <w:tblCellMar>
            <w:top w:w="0" w:type="dxa"/>
            <w:left w:w="0" w:type="dxa"/>
            <w:bottom w:w="0" w:type="dxa"/>
            <w:right w:w="0" w:type="dxa"/>
          </w:tblCellMar>
        </w:tblPrEx>
        <w:trPr>
          <w:trHeight w:val="65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154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处理决定数量</w:t>
            </w:r>
          </w:p>
        </w:tc>
      </w:tr>
      <w:tr>
        <w:tblPrEx>
          <w:tblCellMar>
            <w:top w:w="0" w:type="dxa"/>
            <w:left w:w="0" w:type="dxa"/>
            <w:bottom w:w="0" w:type="dxa"/>
            <w:right w:w="0" w:type="dxa"/>
          </w:tblCellMar>
        </w:tblPrEx>
        <w:trPr>
          <w:trHeight w:val="90"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行政处罚</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3059</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增656</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共3715</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12275</w:t>
            </w:r>
          </w:p>
        </w:tc>
      </w:tr>
      <w:tr>
        <w:tblPrEx>
          <w:tblCellMar>
            <w:top w:w="0" w:type="dxa"/>
            <w:left w:w="0" w:type="dxa"/>
            <w:bottom w:w="0" w:type="dxa"/>
            <w:right w:w="0" w:type="dxa"/>
          </w:tblCellMar>
        </w:tblPrEx>
        <w:trPr>
          <w:trHeight w:val="746"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行政强制</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163</w:t>
            </w:r>
          </w:p>
        </w:tc>
        <w:tc>
          <w:tcPr>
            <w:tcW w:w="154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增26</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共189</w:t>
            </w:r>
          </w:p>
        </w:tc>
        <w:tc>
          <w:tcPr>
            <w:tcW w:w="19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178</w:t>
            </w:r>
            <w:bookmarkStart w:id="0" w:name="_GoBack"/>
            <w:bookmarkEnd w:id="0"/>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第二十条第（八）项</w:t>
            </w:r>
          </w:p>
        </w:tc>
      </w:tr>
      <w:tr>
        <w:tblPrEx>
          <w:tblCellMar>
            <w:top w:w="0" w:type="dxa"/>
            <w:left w:w="0" w:type="dxa"/>
            <w:bottom w:w="0" w:type="dxa"/>
            <w:right w:w="0" w:type="dxa"/>
          </w:tblCellMar>
        </w:tblPrEx>
        <w:trPr>
          <w:trHeight w:val="515"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r>
      <w:tr>
        <w:tblPrEx>
          <w:tblCellMar>
            <w:top w:w="0" w:type="dxa"/>
            <w:left w:w="0" w:type="dxa"/>
            <w:bottom w:w="0" w:type="dxa"/>
            <w:right w:w="0" w:type="dxa"/>
          </w:tblCellMar>
        </w:tblPrEx>
        <w:trPr>
          <w:trHeight w:val="574"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rPr>
            </w:pPr>
            <w:r>
              <w:rPr>
                <w:rFonts w:hint="default" w:ascii="Times New Roman" w:hAnsi="Times New Roman" w:cs="Times New Roman"/>
                <w:color w:val="000000"/>
                <w:kern w:val="0"/>
                <w:sz w:val="22"/>
                <w:szCs w:val="22"/>
              </w:rPr>
              <w:t>行政事业性收费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28</w:t>
            </w:r>
          </w:p>
        </w:tc>
        <w:tc>
          <w:tcPr>
            <w:tcW w:w="3500"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减</w:t>
            </w:r>
            <w:r>
              <w:rPr>
                <w:rFonts w:hint="default" w:ascii="Times New Roman" w:hAnsi="Times New Roman" w:cs="Times New Roman"/>
                <w:color w:val="000000"/>
                <w:kern w:val="0"/>
                <w:sz w:val="22"/>
                <w:szCs w:val="22"/>
              </w:rPr>
              <w:t>1</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共27</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第二十条第（九）项</w:t>
            </w:r>
          </w:p>
        </w:tc>
      </w:tr>
      <w:tr>
        <w:tblPrEx>
          <w:tblCellMar>
            <w:top w:w="0" w:type="dxa"/>
            <w:left w:w="0" w:type="dxa"/>
            <w:bottom w:w="0" w:type="dxa"/>
            <w:right w:w="0" w:type="dxa"/>
          </w:tblCellMar>
        </w:tblPrEx>
        <w:trPr>
          <w:trHeight w:val="708"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采购项目数量</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采购总金额</w:t>
            </w:r>
          </w:p>
        </w:tc>
      </w:tr>
      <w:tr>
        <w:tblPrEx>
          <w:tblCellMar>
            <w:top w:w="0" w:type="dxa"/>
            <w:left w:w="0" w:type="dxa"/>
            <w:bottom w:w="0" w:type="dxa"/>
            <w:right w:w="0" w:type="dxa"/>
          </w:tblCellMar>
        </w:tblPrEx>
        <w:trPr>
          <w:trHeight w:val="608"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color w:val="000000"/>
                <w:kern w:val="0"/>
                <w:sz w:val="22"/>
                <w:szCs w:val="22"/>
              </w:rPr>
              <w:t>政府集中采购</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bidi="ar-SA"/>
              </w:rPr>
            </w:pPr>
            <w:r>
              <w:rPr>
                <w:rFonts w:hint="eastAsia" w:cs="Times New Roman"/>
                <w:color w:val="000000"/>
                <w:kern w:val="0"/>
                <w:sz w:val="22"/>
                <w:szCs w:val="22"/>
                <w:lang w:val="en-US" w:eastAsia="zh-CN"/>
              </w:rPr>
              <w:t>402</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bidi="ar-SA"/>
              </w:rPr>
            </w:pPr>
            <w:r>
              <w:rPr>
                <w:rFonts w:hint="eastAsia" w:cs="Times New Roman"/>
                <w:color w:val="000000"/>
                <w:kern w:val="0"/>
                <w:sz w:val="22"/>
                <w:szCs w:val="22"/>
                <w:lang w:val="en-US" w:eastAsia="zh-CN"/>
              </w:rPr>
              <w:t>8.4</w:t>
            </w:r>
            <w:r>
              <w:rPr>
                <w:rFonts w:hint="default" w:ascii="Times New Roman" w:hAnsi="Times New Roman" w:cs="Times New Roman"/>
                <w:color w:val="000000"/>
                <w:kern w:val="0"/>
                <w:sz w:val="22"/>
                <w:szCs w:val="22"/>
              </w:rPr>
              <w:t>亿元</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收到和处理政府信息公开申请情况</w:t>
      </w:r>
    </w:p>
    <w:tbl>
      <w:tblPr>
        <w:tblStyle w:val="10"/>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6"/>
        <w:gridCol w:w="854"/>
        <w:gridCol w:w="2086"/>
        <w:gridCol w:w="813"/>
        <w:gridCol w:w="755"/>
        <w:gridCol w:w="755"/>
        <w:gridCol w:w="813"/>
        <w:gridCol w:w="973"/>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restart"/>
            <w:tcBorders>
              <w:top w:val="single" w:color="auto" w:sz="8" w:space="0"/>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（本列数据的勾稽关系为：第一项加第二项之和，等于第三项加第四项之和）</w:t>
            </w:r>
          </w:p>
        </w:tc>
        <w:tc>
          <w:tcPr>
            <w:tcW w:w="5515" w:type="dxa"/>
            <w:gridSpan w:val="7"/>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4"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13" w:type="dxa"/>
            <w:vMerge w:val="restart"/>
            <w:tcBorders>
              <w:top w:val="single" w:color="auto" w:sz="4"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自然人</w:t>
            </w:r>
          </w:p>
        </w:tc>
        <w:tc>
          <w:tcPr>
            <w:tcW w:w="4007" w:type="dxa"/>
            <w:gridSpan w:val="5"/>
            <w:tcBorders>
              <w:top w:val="single" w:color="auto" w:sz="4" w:space="0"/>
              <w:left w:val="nil"/>
              <w:bottom w:val="single" w:color="auto" w:sz="8" w:space="0"/>
              <w:right w:val="single" w:color="auto" w:sz="4"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法人或其他组织</w:t>
            </w:r>
          </w:p>
        </w:tc>
        <w:tc>
          <w:tcPr>
            <w:tcW w:w="695" w:type="dxa"/>
            <w:vMerge w:val="restart"/>
            <w:tcBorders>
              <w:top w:val="single" w:color="auto" w:sz="8"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4"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13" w:type="dxa"/>
            <w:vMerge w:val="continue"/>
            <w:tcBorders>
              <w:top w:val="nil"/>
              <w:left w:val="single" w:color="auto" w:sz="4" w:space="0"/>
              <w:bottom w:val="single" w:color="auto" w:sz="4"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755" w:type="dxa"/>
            <w:tcBorders>
              <w:top w:val="nil"/>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商业企业</w:t>
            </w:r>
          </w:p>
        </w:tc>
        <w:tc>
          <w:tcPr>
            <w:tcW w:w="755" w:type="dxa"/>
            <w:tcBorders>
              <w:top w:val="nil"/>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科研机构</w:t>
            </w:r>
          </w:p>
        </w:tc>
        <w:tc>
          <w:tcPr>
            <w:tcW w:w="813" w:type="dxa"/>
            <w:tcBorders>
              <w:top w:val="single" w:color="auto" w:sz="8" w:space="0"/>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社会公益组织</w:t>
            </w:r>
          </w:p>
        </w:tc>
        <w:tc>
          <w:tcPr>
            <w:tcW w:w="973" w:type="dxa"/>
            <w:tcBorders>
              <w:top w:val="single" w:color="auto" w:sz="8" w:space="0"/>
              <w:left w:val="nil"/>
              <w:bottom w:val="single" w:color="auto" w:sz="4" w:space="0"/>
              <w:right w:val="single" w:color="auto" w:sz="4"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法律服务机构</w:t>
            </w:r>
          </w:p>
        </w:tc>
        <w:tc>
          <w:tcPr>
            <w:tcW w:w="711" w:type="dxa"/>
            <w:tcBorders>
              <w:top w:val="single" w:color="auto" w:sz="8"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其他</w:t>
            </w:r>
          </w:p>
        </w:tc>
        <w:tc>
          <w:tcPr>
            <w:tcW w:w="695"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一、本年新收政府信息公开申请数量</w:t>
            </w:r>
          </w:p>
        </w:tc>
        <w:tc>
          <w:tcPr>
            <w:tcW w:w="81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rPr>
              <w:t>33</w:t>
            </w:r>
          </w:p>
        </w:tc>
        <w:tc>
          <w:tcPr>
            <w:tcW w:w="75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rPr>
              <w:t>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二、上年结转政府信息公开申请数量</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1</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35" w:hRule="atLeast"/>
          <w:jc w:val="center"/>
        </w:trPr>
        <w:tc>
          <w:tcPr>
            <w:tcW w:w="616" w:type="dxa"/>
            <w:vMerge w:val="restart"/>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三、本年度办理结果</w:t>
            </w: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（一）予以公开</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rPr>
              <w:t>16</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0</w:t>
            </w:r>
          </w:p>
        </w:tc>
        <w:tc>
          <w:tcPr>
            <w:tcW w:w="69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（二）部分公开（区分处理的，只计这一情形，不计其他情形）</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2</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97"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（三）不予公开</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1.属于国家秘密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2.其他法律行政法规禁止公开</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3.危及“三安全一稳定”</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4.保护第三方合法权益</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5.属于三类内部事务信息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4</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6.属于四类过程性信息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85"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7.属于行政执法案卷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8.属于行政查询事项</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（四）无法提供</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1.本机关不掌握相关政府信息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7</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2.没有现成信息需要另行制作</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3.补正后申请内容仍不明确</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（五）不予处理</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1.信访举报投诉类申请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5"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2.重复申请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2</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3.要求提供公开出版物</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090"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4.无正当理由大量反复申请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240" w:lineRule="auto"/>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5.要求行政机关确认或重新出具已获取信息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23"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（六）其他处理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2</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0" w:hRule="atLeast"/>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（七）总计</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rPr>
              <w:t>33</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33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62" w:hRule="atLeast"/>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四、结转下年度继续办理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sz w:val="22"/>
                <w:szCs w:val="22"/>
                <w:lang w:eastAsia="zh-CN"/>
              </w:rPr>
            </w:pPr>
            <w:r>
              <w:rPr>
                <w:rFonts w:hint="eastAsia" w:cs="Times New Roman"/>
                <w:kern w:val="0"/>
                <w:sz w:val="22"/>
                <w:szCs w:val="22"/>
                <w:lang w:val="en-US" w:eastAsia="zh-CN"/>
              </w:rPr>
              <w:t>1</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380" w:lineRule="exact"/>
              <w:jc w:val="center"/>
              <w:rPr>
                <w:rFonts w:hint="eastAsia" w:ascii="Times New Roman" w:hAnsi="Times New Roman" w:eastAsia="宋体" w:cs="Times New Roman"/>
                <w:sz w:val="22"/>
                <w:szCs w:val="22"/>
                <w:lang w:eastAsia="zh-CN"/>
              </w:rPr>
            </w:pPr>
            <w:r>
              <w:rPr>
                <w:rFonts w:hint="eastAsia" w:ascii="Times New Roman" w:hAnsi="Times New Roman" w:cs="Times New Roman"/>
                <w:kern w:val="0"/>
                <w:sz w:val="22"/>
                <w:szCs w:val="22"/>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60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四、政府信息公开行政复议、行政诉讼情况</w:t>
      </w:r>
    </w:p>
    <w:tbl>
      <w:tblPr>
        <w:tblStyle w:val="10"/>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58"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总计</w:t>
            </w:r>
          </w:p>
        </w:tc>
        <w:tc>
          <w:tcPr>
            <w:tcW w:w="2970" w:type="dxa"/>
            <w:gridSpan w:val="5"/>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58"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550"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5"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其他结果</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其他结果</w:t>
            </w:r>
          </w:p>
        </w:tc>
        <w:tc>
          <w:tcPr>
            <w:tcW w:w="606"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6" w:hRule="atLeast"/>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lang w:eastAsia="zh-CN"/>
              </w:rPr>
            </w:pPr>
            <w:r>
              <w:rPr>
                <w:rFonts w:hint="eastAsia" w:cs="Times New Roman"/>
                <w:lang w:val="en-US" w:eastAsia="zh-CN"/>
              </w:rPr>
              <w:t>4</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lang w:eastAsia="zh-CN"/>
              </w:rPr>
            </w:pPr>
            <w:r>
              <w:rPr>
                <w:rFonts w:hint="eastAsia" w:cs="Times New Roman"/>
                <w:lang w:val="en-US" w:eastAsia="zh-CN"/>
              </w:rPr>
              <w:t>3</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lang w:eastAsia="zh-CN"/>
              </w:rPr>
            </w:pPr>
            <w:r>
              <w:rPr>
                <w:rFonts w:hint="eastAsia" w:cs="Times New Roman"/>
                <w:lang w:val="en-US" w:eastAsia="zh-CN"/>
              </w:rPr>
              <w:t>7</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kern w:val="0"/>
                <w:sz w:val="20"/>
                <w:szCs w:val="20"/>
                <w:lang w:eastAsia="zh-CN"/>
              </w:rPr>
            </w:pPr>
            <w:r>
              <w:rPr>
                <w:rFonts w:hint="eastAsia" w:cs="Times New Roman"/>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eastAsia" w:ascii="Times New Roman" w:hAnsi="Times New Roman" w:eastAsia="宋体" w:cs="Times New Roman"/>
                <w:kern w:val="0"/>
                <w:sz w:val="20"/>
                <w:szCs w:val="20"/>
                <w:lang w:eastAsia="zh-CN"/>
              </w:rPr>
            </w:pPr>
            <w:r>
              <w:rPr>
                <w:rFonts w:hint="eastAsia" w:cs="Times New Roman"/>
                <w:kern w:val="0"/>
                <w:sz w:val="20"/>
                <w:szCs w:val="20"/>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line="60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五、存在的主要问题及改进情况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w:t>
      </w:r>
      <w:r>
        <w:rPr>
          <w:rFonts w:hint="default" w:ascii="楷体_GB2312" w:hAnsi="楷体_GB2312" w:eastAsia="楷体_GB2312" w:cs="楷体_GB2312"/>
          <w:sz w:val="32"/>
          <w:szCs w:val="32"/>
          <w:lang w:val="en-US" w:eastAsia="zh-CN"/>
        </w:rPr>
        <w:t>存在问题</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rightChars="0" w:firstLine="640" w:firstLineChars="200"/>
        <w:jc w:val="both"/>
        <w:textAlignment w:val="auto"/>
        <w:outlineLvl w:val="9"/>
        <w:rPr>
          <w:rFonts w:hint="eastAsia" w:eastAsia="仿宋_GB2312" w:cs="Times New Roman"/>
          <w:sz w:val="32"/>
          <w:szCs w:val="32"/>
          <w:lang w:val="en-US" w:eastAsia="zh-CN"/>
        </w:rPr>
      </w:pPr>
      <w:r>
        <w:rPr>
          <w:rFonts w:hint="default" w:ascii="Times New Roman" w:hAnsi="Times New Roman" w:eastAsia="仿宋_GB2312" w:cs="Times New Roman"/>
          <w:sz w:val="32"/>
          <w:szCs w:val="32"/>
          <w:lang w:eastAsia="zh-CN"/>
        </w:rPr>
        <w:t>一</w:t>
      </w:r>
      <w:r>
        <w:rPr>
          <w:rFonts w:hint="default" w:eastAsia="仿宋_GB2312" w:cs="Times New Roman"/>
          <w:sz w:val="32"/>
          <w:szCs w:val="32"/>
          <w:lang w:val="en-US" w:eastAsia="zh-CN"/>
        </w:rPr>
        <w:t>是</w:t>
      </w:r>
      <w:r>
        <w:rPr>
          <w:rFonts w:hint="eastAsia" w:eastAsia="仿宋_GB2312" w:cs="Times New Roman"/>
          <w:sz w:val="32"/>
          <w:szCs w:val="32"/>
          <w:lang w:val="en-US" w:eastAsia="zh-CN"/>
        </w:rPr>
        <w:t>政务公开平台在内容建设、日常监管等方面仍有较大提升空间，个别栏目存在设置不美观、内容排版不统一、信息不准确等情况</w:t>
      </w:r>
      <w:r>
        <w:rPr>
          <w:rFonts w:hint="default" w:eastAsia="仿宋_GB2312" w:cs="Times New Roman"/>
          <w:sz w:val="32"/>
          <w:szCs w:val="32"/>
          <w:lang w:val="en-US" w:eastAsia="zh-CN"/>
        </w:rPr>
        <w:t>。二是</w:t>
      </w:r>
      <w:r>
        <w:rPr>
          <w:rFonts w:hint="eastAsia" w:eastAsia="仿宋_GB2312" w:cs="Times New Roman"/>
          <w:sz w:val="32"/>
          <w:szCs w:val="32"/>
          <w:lang w:val="en-US" w:eastAsia="zh-CN"/>
        </w:rPr>
        <w:t>部分单位政务公开工作人员多为兼职，且变动频率高，容易造成工作脱节，导致工作疲于应付。三是政府信息公开申请办理工作还需进一步规范，个别单位在拟定告知书时不同程度存在缺少法律依据、不标注救济途径等不规范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（二）改进情况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lang w:val="en-US" w:eastAsia="zh-CN"/>
        </w:rPr>
        <w:t>一</w:t>
      </w:r>
      <w:r>
        <w:rPr>
          <w:rFonts w:hint="eastAsia" w:ascii="Times New Roman" w:hAnsi="Times New Roman" w:eastAsia="仿宋_GB2312" w:cs="Times New Roman"/>
          <w:b/>
          <w:bCs/>
          <w:sz w:val="32"/>
          <w:szCs w:val="32"/>
          <w:lang w:eastAsia="zh-CN"/>
        </w:rPr>
        <w:t>是</w:t>
      </w:r>
      <w:r>
        <w:rPr>
          <w:rFonts w:hint="eastAsia" w:eastAsia="仿宋_GB2312" w:cs="Times New Roman"/>
          <w:b/>
          <w:bCs/>
          <w:sz w:val="32"/>
          <w:szCs w:val="32"/>
          <w:lang w:val="en-US" w:eastAsia="zh-CN"/>
        </w:rPr>
        <w:t>抓好平台建设。</w:t>
      </w:r>
      <w:r>
        <w:rPr>
          <w:rFonts w:hint="eastAsia" w:eastAsia="仿宋_GB2312" w:cs="Times New Roman"/>
          <w:sz w:val="32"/>
          <w:szCs w:val="32"/>
          <w:lang w:val="en-US" w:eastAsia="zh-CN"/>
        </w:rPr>
        <w:t>加强县政府网站内容建设，优化栏目设置，完善信息发布、审核机制，统一信息公开样式，强化办事服务、在线互动等功能，使其在推动政务公开方面更好发挥作用</w:t>
      </w:r>
      <w:r>
        <w:rPr>
          <w:rFonts w:hint="eastAsia" w:ascii="Times New Roman" w:hAnsi="Times New Roman" w:eastAsia="仿宋_GB2312" w:cs="Times New Roman"/>
          <w:sz w:val="32"/>
          <w:szCs w:val="32"/>
          <w:lang w:eastAsia="zh-CN"/>
        </w:rPr>
        <w:t>。</w:t>
      </w:r>
      <w:r>
        <w:rPr>
          <w:rFonts w:hint="eastAsia" w:eastAsia="仿宋_GB2312" w:cs="Times New Roman"/>
          <w:sz w:val="32"/>
          <w:szCs w:val="32"/>
          <w:lang w:val="en-US" w:eastAsia="zh-CN"/>
        </w:rPr>
        <w:t>同时，加强政务新媒体建设，打造政务公开体验区等公众参与新模式，提升群众公开体验和获得感。</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eastAsia" w:eastAsia="仿宋_GB2312" w:cs="Times New Roman"/>
          <w:sz w:val="32"/>
          <w:szCs w:val="32"/>
          <w:lang w:val="en-US" w:eastAsia="zh-CN"/>
        </w:rPr>
      </w:pPr>
      <w:r>
        <w:rPr>
          <w:rFonts w:hint="eastAsia" w:eastAsia="仿宋_GB2312" w:cs="Times New Roman"/>
          <w:b/>
          <w:bCs/>
          <w:sz w:val="32"/>
          <w:szCs w:val="32"/>
          <w:lang w:val="en-US" w:eastAsia="zh-CN"/>
        </w:rPr>
        <w:t>二是抓好队伍建设。</w:t>
      </w:r>
      <w:r>
        <w:rPr>
          <w:rFonts w:hint="eastAsia" w:eastAsia="仿宋_GB2312" w:cs="Times New Roman"/>
          <w:sz w:val="32"/>
          <w:szCs w:val="32"/>
          <w:lang w:val="en-US" w:eastAsia="zh-CN"/>
        </w:rPr>
        <w:t>及时抽调政治性强、有责任心、懂业务的人员充实到工作队伍，切实提高专业化水平</w:t>
      </w:r>
      <w:r>
        <w:rPr>
          <w:rFonts w:hint="eastAsia" w:ascii="Times New Roman" w:hAnsi="Times New Roman" w:eastAsia="仿宋_GB2312" w:cs="Times New Roman"/>
          <w:sz w:val="32"/>
          <w:szCs w:val="32"/>
          <w:lang w:eastAsia="zh-CN"/>
        </w:rPr>
        <w:t>。</w:t>
      </w:r>
      <w:r>
        <w:rPr>
          <w:rFonts w:hint="eastAsia" w:eastAsia="仿宋_GB2312" w:cs="Times New Roman"/>
          <w:sz w:val="32"/>
          <w:szCs w:val="32"/>
          <w:lang w:val="en-US" w:eastAsia="zh-CN"/>
        </w:rPr>
        <w:t>根据日常工作，合理划分培训对象层次，对新旧人员、重点部门及企事业单位工作人员，分批分层次讲解工作知识及实际业务。积极完善定期交流制度，不定期举办专题研讨会，全面提升政务公开人员业务水平。</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9"/>
        <w:rPr>
          <w:rFonts w:hint="default"/>
          <w:lang w:val="en-US" w:eastAsia="zh-CN"/>
        </w:rPr>
      </w:pPr>
      <w:r>
        <w:rPr>
          <w:rFonts w:hint="eastAsia" w:eastAsia="仿宋_GB2312" w:cs="Times New Roman"/>
          <w:b/>
          <w:bCs/>
          <w:sz w:val="32"/>
          <w:szCs w:val="32"/>
          <w:lang w:val="en-US" w:eastAsia="zh-CN"/>
        </w:rPr>
        <w:t>三是抓好依申请公开。</w:t>
      </w:r>
      <w:r>
        <w:rPr>
          <w:rFonts w:hint="eastAsia" w:ascii="仿宋_GB2312" w:hAnsi="仿宋_GB2312" w:eastAsia="仿宋_GB2312" w:cs="仿宋_GB2312"/>
          <w:sz w:val="32"/>
          <w:szCs w:val="32"/>
          <w:lang w:val="en-US" w:eastAsia="zh-CN"/>
        </w:rPr>
        <w:t>继续完善依申请公开工作，明确接收、登记、办理、调查等各个环节的标准和责任。按照申请人的申请诉求，根据《中华人民共和国政府信息公开条例》规定，有针对性的予以答复，并明确救济渠道的机关名称、地址、时限等信息，确保答复及时、准确、规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val="en-US" w:eastAsia="zh-CN"/>
        </w:rPr>
        <w:t>无。</w:t>
      </w:r>
    </w:p>
    <w:sectPr>
      <w:pgSz w:w="11906" w:h="16838"/>
      <w:pgMar w:top="2098" w:right="1797"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星仿宋">
    <w:altName w:val="仿宋"/>
    <w:panose1 w:val="02010604000101010101"/>
    <w:charset w:val="86"/>
    <w:family w:val="auto"/>
    <w:pitch w:val="default"/>
    <w:sig w:usb0="00000000" w:usb1="00000000" w:usb2="00000010"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720"/>
        </w:tabs>
        <w:ind w:left="720" w:hanging="720"/>
      </w:pPr>
    </w:lvl>
    <w:lvl w:ilvl="1" w:tentative="0">
      <w:start w:val="1"/>
      <w:numFmt w:val="decimal"/>
      <w:pStyle w:val="5"/>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73B"/>
    <w:rsid w:val="0000026E"/>
    <w:rsid w:val="00067BB3"/>
    <w:rsid w:val="000706BE"/>
    <w:rsid w:val="001A3A8B"/>
    <w:rsid w:val="002772FE"/>
    <w:rsid w:val="002F5ABB"/>
    <w:rsid w:val="002F673B"/>
    <w:rsid w:val="003643C2"/>
    <w:rsid w:val="00366C66"/>
    <w:rsid w:val="00381D28"/>
    <w:rsid w:val="003D58B0"/>
    <w:rsid w:val="004217CC"/>
    <w:rsid w:val="00421849"/>
    <w:rsid w:val="00434C37"/>
    <w:rsid w:val="004E4D33"/>
    <w:rsid w:val="005112DA"/>
    <w:rsid w:val="00525EF6"/>
    <w:rsid w:val="00570942"/>
    <w:rsid w:val="005968D2"/>
    <w:rsid w:val="005E3AE7"/>
    <w:rsid w:val="005F66EC"/>
    <w:rsid w:val="006A73E9"/>
    <w:rsid w:val="0075783B"/>
    <w:rsid w:val="0078111C"/>
    <w:rsid w:val="00880008"/>
    <w:rsid w:val="008C6532"/>
    <w:rsid w:val="00916972"/>
    <w:rsid w:val="00950E2E"/>
    <w:rsid w:val="009A4553"/>
    <w:rsid w:val="00A37B25"/>
    <w:rsid w:val="00A713D6"/>
    <w:rsid w:val="00A809DB"/>
    <w:rsid w:val="00AF39AC"/>
    <w:rsid w:val="00B17D8E"/>
    <w:rsid w:val="00B23C0B"/>
    <w:rsid w:val="00B4610C"/>
    <w:rsid w:val="00B6592C"/>
    <w:rsid w:val="00BB4B81"/>
    <w:rsid w:val="00BD175D"/>
    <w:rsid w:val="00BD6052"/>
    <w:rsid w:val="00C24750"/>
    <w:rsid w:val="00C340F9"/>
    <w:rsid w:val="00C52098"/>
    <w:rsid w:val="00CA6189"/>
    <w:rsid w:val="00D037C9"/>
    <w:rsid w:val="00E06EAB"/>
    <w:rsid w:val="00E33D60"/>
    <w:rsid w:val="00E803F8"/>
    <w:rsid w:val="00EA34F6"/>
    <w:rsid w:val="00F0162C"/>
    <w:rsid w:val="00FA77FA"/>
    <w:rsid w:val="01381F39"/>
    <w:rsid w:val="015C6E73"/>
    <w:rsid w:val="015F3F75"/>
    <w:rsid w:val="017D6A18"/>
    <w:rsid w:val="01964B87"/>
    <w:rsid w:val="01AE18C3"/>
    <w:rsid w:val="01B510C5"/>
    <w:rsid w:val="02180566"/>
    <w:rsid w:val="021F7FFA"/>
    <w:rsid w:val="022207B4"/>
    <w:rsid w:val="02351321"/>
    <w:rsid w:val="0235506C"/>
    <w:rsid w:val="023A75E4"/>
    <w:rsid w:val="025709E1"/>
    <w:rsid w:val="025734C0"/>
    <w:rsid w:val="029E6B00"/>
    <w:rsid w:val="029F7EDC"/>
    <w:rsid w:val="02F35C30"/>
    <w:rsid w:val="031422C0"/>
    <w:rsid w:val="03146DE7"/>
    <w:rsid w:val="0319006C"/>
    <w:rsid w:val="03367800"/>
    <w:rsid w:val="034476F9"/>
    <w:rsid w:val="036125FC"/>
    <w:rsid w:val="036733AF"/>
    <w:rsid w:val="03837850"/>
    <w:rsid w:val="03B07F79"/>
    <w:rsid w:val="03C84D5D"/>
    <w:rsid w:val="03F05EA8"/>
    <w:rsid w:val="040C1ACC"/>
    <w:rsid w:val="041609D4"/>
    <w:rsid w:val="041B7C65"/>
    <w:rsid w:val="042323C0"/>
    <w:rsid w:val="04274298"/>
    <w:rsid w:val="043A22D7"/>
    <w:rsid w:val="043C1A2C"/>
    <w:rsid w:val="04556A71"/>
    <w:rsid w:val="04BA4E72"/>
    <w:rsid w:val="04DA00D2"/>
    <w:rsid w:val="05370F2B"/>
    <w:rsid w:val="054F5218"/>
    <w:rsid w:val="05566AA5"/>
    <w:rsid w:val="056D0E7D"/>
    <w:rsid w:val="05877EF4"/>
    <w:rsid w:val="05993719"/>
    <w:rsid w:val="05A463AA"/>
    <w:rsid w:val="05AD6A69"/>
    <w:rsid w:val="05BE4635"/>
    <w:rsid w:val="05E57B84"/>
    <w:rsid w:val="05F50B1E"/>
    <w:rsid w:val="061E5F09"/>
    <w:rsid w:val="0625263C"/>
    <w:rsid w:val="062B1103"/>
    <w:rsid w:val="064508B9"/>
    <w:rsid w:val="064D3D31"/>
    <w:rsid w:val="065F6707"/>
    <w:rsid w:val="06643F40"/>
    <w:rsid w:val="066E5483"/>
    <w:rsid w:val="068D0217"/>
    <w:rsid w:val="069C3292"/>
    <w:rsid w:val="06AC3652"/>
    <w:rsid w:val="06AC59C6"/>
    <w:rsid w:val="06D86197"/>
    <w:rsid w:val="06DA678E"/>
    <w:rsid w:val="06FE517E"/>
    <w:rsid w:val="07061CB4"/>
    <w:rsid w:val="071D3A91"/>
    <w:rsid w:val="0721611A"/>
    <w:rsid w:val="07290340"/>
    <w:rsid w:val="073524A6"/>
    <w:rsid w:val="073873BC"/>
    <w:rsid w:val="07B24CE8"/>
    <w:rsid w:val="07E95B55"/>
    <w:rsid w:val="08006156"/>
    <w:rsid w:val="083107BB"/>
    <w:rsid w:val="083269DF"/>
    <w:rsid w:val="08433D4A"/>
    <w:rsid w:val="08BD0CCF"/>
    <w:rsid w:val="08E71F2A"/>
    <w:rsid w:val="091450DF"/>
    <w:rsid w:val="09217FE7"/>
    <w:rsid w:val="09424AA8"/>
    <w:rsid w:val="0956075A"/>
    <w:rsid w:val="098D0B19"/>
    <w:rsid w:val="09971FE9"/>
    <w:rsid w:val="09A830B8"/>
    <w:rsid w:val="09A87296"/>
    <w:rsid w:val="09BB7301"/>
    <w:rsid w:val="09DB43DD"/>
    <w:rsid w:val="0A067AF0"/>
    <w:rsid w:val="0A070A59"/>
    <w:rsid w:val="0A501F82"/>
    <w:rsid w:val="0A7E2CD8"/>
    <w:rsid w:val="0A9A0E8B"/>
    <w:rsid w:val="0AA72E8B"/>
    <w:rsid w:val="0AB8610C"/>
    <w:rsid w:val="0ADA16FB"/>
    <w:rsid w:val="0B003682"/>
    <w:rsid w:val="0B067A39"/>
    <w:rsid w:val="0B0E30EB"/>
    <w:rsid w:val="0B1A1673"/>
    <w:rsid w:val="0B23477C"/>
    <w:rsid w:val="0B4D1F7A"/>
    <w:rsid w:val="0B5500CD"/>
    <w:rsid w:val="0B8421E8"/>
    <w:rsid w:val="0B8D2EFD"/>
    <w:rsid w:val="0BB033ED"/>
    <w:rsid w:val="0C02072A"/>
    <w:rsid w:val="0C173229"/>
    <w:rsid w:val="0C394B54"/>
    <w:rsid w:val="0C5B1BC2"/>
    <w:rsid w:val="0CB13783"/>
    <w:rsid w:val="0CBC1577"/>
    <w:rsid w:val="0CE554EA"/>
    <w:rsid w:val="0CF258C9"/>
    <w:rsid w:val="0D313678"/>
    <w:rsid w:val="0D4E5DBA"/>
    <w:rsid w:val="0D735183"/>
    <w:rsid w:val="0D7A4530"/>
    <w:rsid w:val="0D7F0500"/>
    <w:rsid w:val="0D9021E3"/>
    <w:rsid w:val="0D9C6374"/>
    <w:rsid w:val="0DA92E5C"/>
    <w:rsid w:val="0DB525F2"/>
    <w:rsid w:val="0DD13814"/>
    <w:rsid w:val="0DEE3327"/>
    <w:rsid w:val="0DEE400A"/>
    <w:rsid w:val="0DF7486F"/>
    <w:rsid w:val="0E06134E"/>
    <w:rsid w:val="0E28094F"/>
    <w:rsid w:val="0E32576D"/>
    <w:rsid w:val="0E527ED9"/>
    <w:rsid w:val="0E6E12BA"/>
    <w:rsid w:val="0E703213"/>
    <w:rsid w:val="0E751F6C"/>
    <w:rsid w:val="0E7671B8"/>
    <w:rsid w:val="0E803A4F"/>
    <w:rsid w:val="0E967FC2"/>
    <w:rsid w:val="0EA0025E"/>
    <w:rsid w:val="0EAE65B2"/>
    <w:rsid w:val="0EC469B4"/>
    <w:rsid w:val="0EDA287F"/>
    <w:rsid w:val="0EDA342E"/>
    <w:rsid w:val="0EEA3E48"/>
    <w:rsid w:val="0EF9767E"/>
    <w:rsid w:val="0F5665F0"/>
    <w:rsid w:val="0F5A5DA0"/>
    <w:rsid w:val="0F6A3ACC"/>
    <w:rsid w:val="0F763A2F"/>
    <w:rsid w:val="0F807072"/>
    <w:rsid w:val="0FA6555D"/>
    <w:rsid w:val="0FD65F5E"/>
    <w:rsid w:val="0FE9603A"/>
    <w:rsid w:val="0FEA0804"/>
    <w:rsid w:val="10184354"/>
    <w:rsid w:val="10292A9A"/>
    <w:rsid w:val="103530C2"/>
    <w:rsid w:val="10485029"/>
    <w:rsid w:val="108453DA"/>
    <w:rsid w:val="10986E56"/>
    <w:rsid w:val="10E42FE4"/>
    <w:rsid w:val="10FB0CA7"/>
    <w:rsid w:val="11197E5B"/>
    <w:rsid w:val="1140175F"/>
    <w:rsid w:val="114735E3"/>
    <w:rsid w:val="115523B2"/>
    <w:rsid w:val="116942FB"/>
    <w:rsid w:val="117810F5"/>
    <w:rsid w:val="11892FCC"/>
    <w:rsid w:val="118A665C"/>
    <w:rsid w:val="118E6B5C"/>
    <w:rsid w:val="11C66244"/>
    <w:rsid w:val="11D90DE7"/>
    <w:rsid w:val="11E10FFC"/>
    <w:rsid w:val="11F620E1"/>
    <w:rsid w:val="11FF7FA8"/>
    <w:rsid w:val="120D02A1"/>
    <w:rsid w:val="12442144"/>
    <w:rsid w:val="129814DD"/>
    <w:rsid w:val="12A43687"/>
    <w:rsid w:val="12B8090E"/>
    <w:rsid w:val="130C28E1"/>
    <w:rsid w:val="13273B0E"/>
    <w:rsid w:val="13365CA8"/>
    <w:rsid w:val="13563CC7"/>
    <w:rsid w:val="135B0050"/>
    <w:rsid w:val="13633EBE"/>
    <w:rsid w:val="136368FC"/>
    <w:rsid w:val="13644665"/>
    <w:rsid w:val="13644D7E"/>
    <w:rsid w:val="13746FC1"/>
    <w:rsid w:val="13BA2F9D"/>
    <w:rsid w:val="13F46A51"/>
    <w:rsid w:val="140F30C2"/>
    <w:rsid w:val="1414134D"/>
    <w:rsid w:val="14200287"/>
    <w:rsid w:val="144B6ED5"/>
    <w:rsid w:val="14587112"/>
    <w:rsid w:val="14803C46"/>
    <w:rsid w:val="14B133C4"/>
    <w:rsid w:val="14B504C0"/>
    <w:rsid w:val="14C64EF6"/>
    <w:rsid w:val="14D02817"/>
    <w:rsid w:val="14EC09F1"/>
    <w:rsid w:val="14F570DF"/>
    <w:rsid w:val="151B7693"/>
    <w:rsid w:val="155144A2"/>
    <w:rsid w:val="157968E3"/>
    <w:rsid w:val="157E6B0C"/>
    <w:rsid w:val="1591231C"/>
    <w:rsid w:val="15A66BD3"/>
    <w:rsid w:val="15AB2AAB"/>
    <w:rsid w:val="15AC635C"/>
    <w:rsid w:val="15AF4E5B"/>
    <w:rsid w:val="15B32461"/>
    <w:rsid w:val="15C41E44"/>
    <w:rsid w:val="15CF099B"/>
    <w:rsid w:val="15DB36A6"/>
    <w:rsid w:val="160C45D5"/>
    <w:rsid w:val="161664CA"/>
    <w:rsid w:val="1621720C"/>
    <w:rsid w:val="165719AD"/>
    <w:rsid w:val="166D34FE"/>
    <w:rsid w:val="16756503"/>
    <w:rsid w:val="169A7EB0"/>
    <w:rsid w:val="16B963AC"/>
    <w:rsid w:val="16CD59A0"/>
    <w:rsid w:val="16EC4273"/>
    <w:rsid w:val="16F263DC"/>
    <w:rsid w:val="17483C59"/>
    <w:rsid w:val="17625CA4"/>
    <w:rsid w:val="176F488D"/>
    <w:rsid w:val="178735C4"/>
    <w:rsid w:val="17907BDE"/>
    <w:rsid w:val="17D71DD3"/>
    <w:rsid w:val="17ED5B13"/>
    <w:rsid w:val="1824277D"/>
    <w:rsid w:val="18403C69"/>
    <w:rsid w:val="184B2332"/>
    <w:rsid w:val="18813ACA"/>
    <w:rsid w:val="18AA7BEB"/>
    <w:rsid w:val="18B55853"/>
    <w:rsid w:val="18C66D8E"/>
    <w:rsid w:val="18D854BD"/>
    <w:rsid w:val="18DD10FD"/>
    <w:rsid w:val="19002D66"/>
    <w:rsid w:val="191711EC"/>
    <w:rsid w:val="193B6051"/>
    <w:rsid w:val="197C5382"/>
    <w:rsid w:val="1A086467"/>
    <w:rsid w:val="1A1079D8"/>
    <w:rsid w:val="1A1818AE"/>
    <w:rsid w:val="1A5B4A2D"/>
    <w:rsid w:val="1A882C69"/>
    <w:rsid w:val="1A926B95"/>
    <w:rsid w:val="1A9B0C3F"/>
    <w:rsid w:val="1AA23029"/>
    <w:rsid w:val="1ACB27DD"/>
    <w:rsid w:val="1ACE7102"/>
    <w:rsid w:val="1ADC689A"/>
    <w:rsid w:val="1AFC76C7"/>
    <w:rsid w:val="1B017AD2"/>
    <w:rsid w:val="1B376723"/>
    <w:rsid w:val="1B3D620B"/>
    <w:rsid w:val="1B623492"/>
    <w:rsid w:val="1B795EC1"/>
    <w:rsid w:val="1B7F546D"/>
    <w:rsid w:val="1BA45BC2"/>
    <w:rsid w:val="1BDD4E49"/>
    <w:rsid w:val="1C1914B7"/>
    <w:rsid w:val="1C4E789A"/>
    <w:rsid w:val="1C6462BF"/>
    <w:rsid w:val="1C735AE3"/>
    <w:rsid w:val="1C872324"/>
    <w:rsid w:val="1C9D34F8"/>
    <w:rsid w:val="1CEF3ECE"/>
    <w:rsid w:val="1D046D6C"/>
    <w:rsid w:val="1D0B757D"/>
    <w:rsid w:val="1D15069A"/>
    <w:rsid w:val="1D3C7029"/>
    <w:rsid w:val="1D4123C8"/>
    <w:rsid w:val="1D4F3E30"/>
    <w:rsid w:val="1D6000F1"/>
    <w:rsid w:val="1D6636F1"/>
    <w:rsid w:val="1D733F77"/>
    <w:rsid w:val="1D997E83"/>
    <w:rsid w:val="1D9A7939"/>
    <w:rsid w:val="1DBB0F79"/>
    <w:rsid w:val="1E18610D"/>
    <w:rsid w:val="1E3D2F1A"/>
    <w:rsid w:val="1E427DFC"/>
    <w:rsid w:val="1E4F665F"/>
    <w:rsid w:val="1E587D29"/>
    <w:rsid w:val="1EC04574"/>
    <w:rsid w:val="1ED272FF"/>
    <w:rsid w:val="1EEB5192"/>
    <w:rsid w:val="1EF1721A"/>
    <w:rsid w:val="1F0B7367"/>
    <w:rsid w:val="1F117B79"/>
    <w:rsid w:val="1F8E5CAB"/>
    <w:rsid w:val="1F9E2336"/>
    <w:rsid w:val="1F9E56B5"/>
    <w:rsid w:val="1FA33C7B"/>
    <w:rsid w:val="1FBD2604"/>
    <w:rsid w:val="1FC47013"/>
    <w:rsid w:val="1FCC4981"/>
    <w:rsid w:val="2009696E"/>
    <w:rsid w:val="204A2211"/>
    <w:rsid w:val="2054565A"/>
    <w:rsid w:val="20852656"/>
    <w:rsid w:val="20EB441D"/>
    <w:rsid w:val="21094E27"/>
    <w:rsid w:val="21304E60"/>
    <w:rsid w:val="213640C8"/>
    <w:rsid w:val="215D6E56"/>
    <w:rsid w:val="21D015EB"/>
    <w:rsid w:val="21FD68CF"/>
    <w:rsid w:val="221078E5"/>
    <w:rsid w:val="223279D9"/>
    <w:rsid w:val="224815D2"/>
    <w:rsid w:val="2251465E"/>
    <w:rsid w:val="226B144C"/>
    <w:rsid w:val="22A15DF6"/>
    <w:rsid w:val="22A44988"/>
    <w:rsid w:val="22BA207C"/>
    <w:rsid w:val="232A086E"/>
    <w:rsid w:val="232E05D8"/>
    <w:rsid w:val="2332567A"/>
    <w:rsid w:val="23553243"/>
    <w:rsid w:val="23AA24F3"/>
    <w:rsid w:val="23AB6E7C"/>
    <w:rsid w:val="23CB573E"/>
    <w:rsid w:val="23CE5AD3"/>
    <w:rsid w:val="23D069D4"/>
    <w:rsid w:val="23F1307D"/>
    <w:rsid w:val="24046FB1"/>
    <w:rsid w:val="24072E84"/>
    <w:rsid w:val="24183EFA"/>
    <w:rsid w:val="243F447A"/>
    <w:rsid w:val="243F4C04"/>
    <w:rsid w:val="24541AAC"/>
    <w:rsid w:val="24777772"/>
    <w:rsid w:val="249B523E"/>
    <w:rsid w:val="24A509A6"/>
    <w:rsid w:val="24A60311"/>
    <w:rsid w:val="24E138F3"/>
    <w:rsid w:val="250B5B45"/>
    <w:rsid w:val="25124316"/>
    <w:rsid w:val="252658D9"/>
    <w:rsid w:val="252C20BA"/>
    <w:rsid w:val="252F0C7E"/>
    <w:rsid w:val="2534637D"/>
    <w:rsid w:val="25470A75"/>
    <w:rsid w:val="258059A3"/>
    <w:rsid w:val="25A8305D"/>
    <w:rsid w:val="25C25127"/>
    <w:rsid w:val="26137CB5"/>
    <w:rsid w:val="262A01BC"/>
    <w:rsid w:val="2633592B"/>
    <w:rsid w:val="26564E52"/>
    <w:rsid w:val="267857DF"/>
    <w:rsid w:val="268553C9"/>
    <w:rsid w:val="269650F6"/>
    <w:rsid w:val="269D6380"/>
    <w:rsid w:val="26A4110F"/>
    <w:rsid w:val="26AF77E7"/>
    <w:rsid w:val="26BA4FF7"/>
    <w:rsid w:val="26CA460D"/>
    <w:rsid w:val="2710549D"/>
    <w:rsid w:val="271C4083"/>
    <w:rsid w:val="274B18EF"/>
    <w:rsid w:val="275D0E3D"/>
    <w:rsid w:val="27902D1F"/>
    <w:rsid w:val="27912CE9"/>
    <w:rsid w:val="27A442FE"/>
    <w:rsid w:val="27DB4301"/>
    <w:rsid w:val="281C7A3C"/>
    <w:rsid w:val="281F20B5"/>
    <w:rsid w:val="283042C5"/>
    <w:rsid w:val="28306422"/>
    <w:rsid w:val="2838547F"/>
    <w:rsid w:val="284039AE"/>
    <w:rsid w:val="28557B30"/>
    <w:rsid w:val="28725578"/>
    <w:rsid w:val="2880436F"/>
    <w:rsid w:val="28E92A54"/>
    <w:rsid w:val="28EA67D7"/>
    <w:rsid w:val="28F435A8"/>
    <w:rsid w:val="295772CD"/>
    <w:rsid w:val="29604D47"/>
    <w:rsid w:val="296B1318"/>
    <w:rsid w:val="296F5AE4"/>
    <w:rsid w:val="298E1408"/>
    <w:rsid w:val="29A739FC"/>
    <w:rsid w:val="29AB160F"/>
    <w:rsid w:val="29C34ECA"/>
    <w:rsid w:val="29C53265"/>
    <w:rsid w:val="29DF69F7"/>
    <w:rsid w:val="29E61F64"/>
    <w:rsid w:val="29F03F5B"/>
    <w:rsid w:val="29FC12F0"/>
    <w:rsid w:val="2A0A5E08"/>
    <w:rsid w:val="2A1D1B0F"/>
    <w:rsid w:val="2A204203"/>
    <w:rsid w:val="2A384DB5"/>
    <w:rsid w:val="2A51479B"/>
    <w:rsid w:val="2A5B00E6"/>
    <w:rsid w:val="2A977A81"/>
    <w:rsid w:val="2AA86800"/>
    <w:rsid w:val="2ACE6665"/>
    <w:rsid w:val="2ACF7045"/>
    <w:rsid w:val="2AD1112F"/>
    <w:rsid w:val="2AFF03AE"/>
    <w:rsid w:val="2B227622"/>
    <w:rsid w:val="2B316C73"/>
    <w:rsid w:val="2B372141"/>
    <w:rsid w:val="2B56077D"/>
    <w:rsid w:val="2B615949"/>
    <w:rsid w:val="2B7023B4"/>
    <w:rsid w:val="2BA740DD"/>
    <w:rsid w:val="2BBD3A6E"/>
    <w:rsid w:val="2BE54727"/>
    <w:rsid w:val="2BE82AE8"/>
    <w:rsid w:val="2BEB384C"/>
    <w:rsid w:val="2BF22B2A"/>
    <w:rsid w:val="2BFC718F"/>
    <w:rsid w:val="2C465B1E"/>
    <w:rsid w:val="2C50481E"/>
    <w:rsid w:val="2C632570"/>
    <w:rsid w:val="2CDB7CBE"/>
    <w:rsid w:val="2D3F4DF9"/>
    <w:rsid w:val="2D716C9F"/>
    <w:rsid w:val="2D903D74"/>
    <w:rsid w:val="2E033703"/>
    <w:rsid w:val="2E126C44"/>
    <w:rsid w:val="2E230B33"/>
    <w:rsid w:val="2E387FAF"/>
    <w:rsid w:val="2E527345"/>
    <w:rsid w:val="2E8A4CC1"/>
    <w:rsid w:val="2E9A00C3"/>
    <w:rsid w:val="2F07253B"/>
    <w:rsid w:val="2F076F29"/>
    <w:rsid w:val="2F077237"/>
    <w:rsid w:val="2F0F2220"/>
    <w:rsid w:val="2F1A3216"/>
    <w:rsid w:val="2F732569"/>
    <w:rsid w:val="2F7531A7"/>
    <w:rsid w:val="2FA47793"/>
    <w:rsid w:val="2FAC6679"/>
    <w:rsid w:val="2FB108F9"/>
    <w:rsid w:val="2FB5094E"/>
    <w:rsid w:val="2FF832B1"/>
    <w:rsid w:val="30065456"/>
    <w:rsid w:val="300D30A3"/>
    <w:rsid w:val="30332CD9"/>
    <w:rsid w:val="309673EF"/>
    <w:rsid w:val="309D3CEA"/>
    <w:rsid w:val="30A77058"/>
    <w:rsid w:val="30B6597C"/>
    <w:rsid w:val="30D54702"/>
    <w:rsid w:val="30D875A6"/>
    <w:rsid w:val="30E26C9D"/>
    <w:rsid w:val="30EF467A"/>
    <w:rsid w:val="31270C5E"/>
    <w:rsid w:val="312E3BA0"/>
    <w:rsid w:val="316146B1"/>
    <w:rsid w:val="316C1BCD"/>
    <w:rsid w:val="31727492"/>
    <w:rsid w:val="319D3ED4"/>
    <w:rsid w:val="319F3937"/>
    <w:rsid w:val="31B319C6"/>
    <w:rsid w:val="31B63EA4"/>
    <w:rsid w:val="31E14907"/>
    <w:rsid w:val="320629F9"/>
    <w:rsid w:val="32651CAA"/>
    <w:rsid w:val="326C6BD9"/>
    <w:rsid w:val="329B0E9B"/>
    <w:rsid w:val="329C12AB"/>
    <w:rsid w:val="32C84432"/>
    <w:rsid w:val="32DF7560"/>
    <w:rsid w:val="32E72CAE"/>
    <w:rsid w:val="335B627A"/>
    <w:rsid w:val="335D41A8"/>
    <w:rsid w:val="33605C73"/>
    <w:rsid w:val="33721393"/>
    <w:rsid w:val="33870B2D"/>
    <w:rsid w:val="33933144"/>
    <w:rsid w:val="33BE6404"/>
    <w:rsid w:val="33DA063B"/>
    <w:rsid w:val="340A1B12"/>
    <w:rsid w:val="34236003"/>
    <w:rsid w:val="344A45C5"/>
    <w:rsid w:val="345B4B5C"/>
    <w:rsid w:val="3467141D"/>
    <w:rsid w:val="346F70A9"/>
    <w:rsid w:val="34795FD4"/>
    <w:rsid w:val="34863188"/>
    <w:rsid w:val="34AA2CA4"/>
    <w:rsid w:val="34B67C7D"/>
    <w:rsid w:val="34C35280"/>
    <w:rsid w:val="35076E81"/>
    <w:rsid w:val="351034B1"/>
    <w:rsid w:val="352A69C3"/>
    <w:rsid w:val="359C1650"/>
    <w:rsid w:val="35A227D2"/>
    <w:rsid w:val="35EA337F"/>
    <w:rsid w:val="36176BB8"/>
    <w:rsid w:val="36370B55"/>
    <w:rsid w:val="36461738"/>
    <w:rsid w:val="36695F0C"/>
    <w:rsid w:val="36914E2E"/>
    <w:rsid w:val="36994F35"/>
    <w:rsid w:val="36AA24D2"/>
    <w:rsid w:val="36D11227"/>
    <w:rsid w:val="36D95BB7"/>
    <w:rsid w:val="36F33EB0"/>
    <w:rsid w:val="371E2F6C"/>
    <w:rsid w:val="37270316"/>
    <w:rsid w:val="373E0EBA"/>
    <w:rsid w:val="37426FF4"/>
    <w:rsid w:val="37716AC0"/>
    <w:rsid w:val="377C4DA1"/>
    <w:rsid w:val="377E61B4"/>
    <w:rsid w:val="37806DFA"/>
    <w:rsid w:val="37887B17"/>
    <w:rsid w:val="379F01BE"/>
    <w:rsid w:val="37D8630F"/>
    <w:rsid w:val="37EA4CBA"/>
    <w:rsid w:val="3832451E"/>
    <w:rsid w:val="384101C8"/>
    <w:rsid w:val="38465132"/>
    <w:rsid w:val="384D235F"/>
    <w:rsid w:val="38627EEA"/>
    <w:rsid w:val="386534DE"/>
    <w:rsid w:val="387767FD"/>
    <w:rsid w:val="38797011"/>
    <w:rsid w:val="38837B7E"/>
    <w:rsid w:val="388A6133"/>
    <w:rsid w:val="38D3070B"/>
    <w:rsid w:val="38D7349E"/>
    <w:rsid w:val="38FC292C"/>
    <w:rsid w:val="393A33C2"/>
    <w:rsid w:val="396734C7"/>
    <w:rsid w:val="399637DB"/>
    <w:rsid w:val="39B35635"/>
    <w:rsid w:val="39B72547"/>
    <w:rsid w:val="39C91564"/>
    <w:rsid w:val="39CC0E90"/>
    <w:rsid w:val="39DE1FB9"/>
    <w:rsid w:val="3A20585E"/>
    <w:rsid w:val="3A56041B"/>
    <w:rsid w:val="3A5A67CE"/>
    <w:rsid w:val="3ADE3B5B"/>
    <w:rsid w:val="3AF94EC8"/>
    <w:rsid w:val="3B2B72C9"/>
    <w:rsid w:val="3B466CAC"/>
    <w:rsid w:val="3B53443C"/>
    <w:rsid w:val="3B563AB7"/>
    <w:rsid w:val="3B7A002D"/>
    <w:rsid w:val="3B7B0B8F"/>
    <w:rsid w:val="3B7C3863"/>
    <w:rsid w:val="3BC641FC"/>
    <w:rsid w:val="3BE72D6E"/>
    <w:rsid w:val="3C0E2C7C"/>
    <w:rsid w:val="3C142F83"/>
    <w:rsid w:val="3C2154C4"/>
    <w:rsid w:val="3C3E5F19"/>
    <w:rsid w:val="3C6848D5"/>
    <w:rsid w:val="3CFF51A4"/>
    <w:rsid w:val="3D0707E2"/>
    <w:rsid w:val="3D186A23"/>
    <w:rsid w:val="3D41035E"/>
    <w:rsid w:val="3D4B51DA"/>
    <w:rsid w:val="3D6B5651"/>
    <w:rsid w:val="3D755614"/>
    <w:rsid w:val="3D831282"/>
    <w:rsid w:val="3D846999"/>
    <w:rsid w:val="3D914C0C"/>
    <w:rsid w:val="3DC501B7"/>
    <w:rsid w:val="3DCA2D46"/>
    <w:rsid w:val="3DCA4939"/>
    <w:rsid w:val="3DE64066"/>
    <w:rsid w:val="3DF37763"/>
    <w:rsid w:val="3DF77B8A"/>
    <w:rsid w:val="3DFC2FBE"/>
    <w:rsid w:val="3E15419A"/>
    <w:rsid w:val="3E1F085C"/>
    <w:rsid w:val="3E3040A6"/>
    <w:rsid w:val="3E914A11"/>
    <w:rsid w:val="3EC02567"/>
    <w:rsid w:val="3EEF6F54"/>
    <w:rsid w:val="3EFD71AD"/>
    <w:rsid w:val="3F070E23"/>
    <w:rsid w:val="3F10650E"/>
    <w:rsid w:val="3F1C199D"/>
    <w:rsid w:val="3F1F71E5"/>
    <w:rsid w:val="3F3556D0"/>
    <w:rsid w:val="3F3C5284"/>
    <w:rsid w:val="3F40723E"/>
    <w:rsid w:val="3F485F51"/>
    <w:rsid w:val="3F56186D"/>
    <w:rsid w:val="3F633DA3"/>
    <w:rsid w:val="3FC0079B"/>
    <w:rsid w:val="40151B98"/>
    <w:rsid w:val="40212C71"/>
    <w:rsid w:val="402462AA"/>
    <w:rsid w:val="40272CFA"/>
    <w:rsid w:val="403A3884"/>
    <w:rsid w:val="40492CBF"/>
    <w:rsid w:val="40515198"/>
    <w:rsid w:val="405B1B54"/>
    <w:rsid w:val="405B524D"/>
    <w:rsid w:val="40724E5E"/>
    <w:rsid w:val="40924FE2"/>
    <w:rsid w:val="40A33EF3"/>
    <w:rsid w:val="40AB6B87"/>
    <w:rsid w:val="40BA4E02"/>
    <w:rsid w:val="40C6470C"/>
    <w:rsid w:val="411A33E2"/>
    <w:rsid w:val="415F723E"/>
    <w:rsid w:val="416E33E4"/>
    <w:rsid w:val="4170222C"/>
    <w:rsid w:val="4187708B"/>
    <w:rsid w:val="418C6083"/>
    <w:rsid w:val="419C4F1E"/>
    <w:rsid w:val="41E662E1"/>
    <w:rsid w:val="41E95781"/>
    <w:rsid w:val="42125746"/>
    <w:rsid w:val="4213499E"/>
    <w:rsid w:val="422C003C"/>
    <w:rsid w:val="4272389A"/>
    <w:rsid w:val="42864244"/>
    <w:rsid w:val="42911369"/>
    <w:rsid w:val="42A3179C"/>
    <w:rsid w:val="42BC0267"/>
    <w:rsid w:val="42D54EDC"/>
    <w:rsid w:val="42F04C1B"/>
    <w:rsid w:val="42F53498"/>
    <w:rsid w:val="431B4D0D"/>
    <w:rsid w:val="432E57BD"/>
    <w:rsid w:val="433D7442"/>
    <w:rsid w:val="433D7706"/>
    <w:rsid w:val="43405FBA"/>
    <w:rsid w:val="435A6A0E"/>
    <w:rsid w:val="436D0331"/>
    <w:rsid w:val="43975D6B"/>
    <w:rsid w:val="43B858A3"/>
    <w:rsid w:val="43B97293"/>
    <w:rsid w:val="43BF1061"/>
    <w:rsid w:val="43F444CA"/>
    <w:rsid w:val="44127FDA"/>
    <w:rsid w:val="4432652A"/>
    <w:rsid w:val="443D1515"/>
    <w:rsid w:val="44466A5B"/>
    <w:rsid w:val="44560B64"/>
    <w:rsid w:val="449144EE"/>
    <w:rsid w:val="44926A76"/>
    <w:rsid w:val="44A808E5"/>
    <w:rsid w:val="44B76F56"/>
    <w:rsid w:val="44F4269D"/>
    <w:rsid w:val="45173E73"/>
    <w:rsid w:val="452A381B"/>
    <w:rsid w:val="452F2B67"/>
    <w:rsid w:val="4533421E"/>
    <w:rsid w:val="45393E1B"/>
    <w:rsid w:val="4544659B"/>
    <w:rsid w:val="45631FD8"/>
    <w:rsid w:val="456E5FDA"/>
    <w:rsid w:val="458B08A6"/>
    <w:rsid w:val="45C35859"/>
    <w:rsid w:val="45DB21F1"/>
    <w:rsid w:val="45E84111"/>
    <w:rsid w:val="46047972"/>
    <w:rsid w:val="46220354"/>
    <w:rsid w:val="462D5538"/>
    <w:rsid w:val="462E3E13"/>
    <w:rsid w:val="463723A1"/>
    <w:rsid w:val="466348E2"/>
    <w:rsid w:val="469A3080"/>
    <w:rsid w:val="469F0F89"/>
    <w:rsid w:val="46A5772C"/>
    <w:rsid w:val="46D041FE"/>
    <w:rsid w:val="46E525F5"/>
    <w:rsid w:val="46E60F74"/>
    <w:rsid w:val="46F903E4"/>
    <w:rsid w:val="46FB685B"/>
    <w:rsid w:val="471E2172"/>
    <w:rsid w:val="47336D4F"/>
    <w:rsid w:val="47533636"/>
    <w:rsid w:val="47593B8A"/>
    <w:rsid w:val="47602F88"/>
    <w:rsid w:val="47630DE5"/>
    <w:rsid w:val="477D7479"/>
    <w:rsid w:val="47890F27"/>
    <w:rsid w:val="47A35E2C"/>
    <w:rsid w:val="47A61ECF"/>
    <w:rsid w:val="47D364F7"/>
    <w:rsid w:val="47DB7CB6"/>
    <w:rsid w:val="47EF11D8"/>
    <w:rsid w:val="47FB32D8"/>
    <w:rsid w:val="48140110"/>
    <w:rsid w:val="482B668B"/>
    <w:rsid w:val="48327DDA"/>
    <w:rsid w:val="484C5A5A"/>
    <w:rsid w:val="485215AB"/>
    <w:rsid w:val="48541AA6"/>
    <w:rsid w:val="486A082C"/>
    <w:rsid w:val="48C4652A"/>
    <w:rsid w:val="48F403B1"/>
    <w:rsid w:val="49085D9B"/>
    <w:rsid w:val="491E4677"/>
    <w:rsid w:val="4925321F"/>
    <w:rsid w:val="49263F68"/>
    <w:rsid w:val="49355936"/>
    <w:rsid w:val="49502FA3"/>
    <w:rsid w:val="49A16717"/>
    <w:rsid w:val="49AD15D2"/>
    <w:rsid w:val="49BE2FC3"/>
    <w:rsid w:val="49C7052D"/>
    <w:rsid w:val="49D13E1A"/>
    <w:rsid w:val="49E70C74"/>
    <w:rsid w:val="49F0251E"/>
    <w:rsid w:val="49FA7A98"/>
    <w:rsid w:val="4A164F1D"/>
    <w:rsid w:val="4A244368"/>
    <w:rsid w:val="4A2B04D5"/>
    <w:rsid w:val="4A3E55B7"/>
    <w:rsid w:val="4A5A0FA4"/>
    <w:rsid w:val="4A6B6D03"/>
    <w:rsid w:val="4A78503B"/>
    <w:rsid w:val="4A7F6531"/>
    <w:rsid w:val="4A94729F"/>
    <w:rsid w:val="4AC17D7C"/>
    <w:rsid w:val="4AC35D4E"/>
    <w:rsid w:val="4AC51FAE"/>
    <w:rsid w:val="4AD54D86"/>
    <w:rsid w:val="4AED200A"/>
    <w:rsid w:val="4AEE2171"/>
    <w:rsid w:val="4AEE5FB6"/>
    <w:rsid w:val="4AEF701F"/>
    <w:rsid w:val="4AFB73E5"/>
    <w:rsid w:val="4AFE0BE1"/>
    <w:rsid w:val="4B276E5C"/>
    <w:rsid w:val="4B4031FC"/>
    <w:rsid w:val="4B45058C"/>
    <w:rsid w:val="4B4D0C9C"/>
    <w:rsid w:val="4B5055EE"/>
    <w:rsid w:val="4B6C1555"/>
    <w:rsid w:val="4B9A0293"/>
    <w:rsid w:val="4BA93423"/>
    <w:rsid w:val="4BD439C5"/>
    <w:rsid w:val="4BDA72EA"/>
    <w:rsid w:val="4BEC4377"/>
    <w:rsid w:val="4C087971"/>
    <w:rsid w:val="4C5C5E13"/>
    <w:rsid w:val="4C5D5D47"/>
    <w:rsid w:val="4C7861E4"/>
    <w:rsid w:val="4CC7458A"/>
    <w:rsid w:val="4CDF010F"/>
    <w:rsid w:val="4D224C8A"/>
    <w:rsid w:val="4D43602B"/>
    <w:rsid w:val="4D610FCA"/>
    <w:rsid w:val="4D7B349E"/>
    <w:rsid w:val="4D8C560E"/>
    <w:rsid w:val="4DC2003A"/>
    <w:rsid w:val="4DC91572"/>
    <w:rsid w:val="4DD144F2"/>
    <w:rsid w:val="4DD95B3A"/>
    <w:rsid w:val="4DF72BC5"/>
    <w:rsid w:val="4DF87E4E"/>
    <w:rsid w:val="4E1E2E37"/>
    <w:rsid w:val="4E2E1E6C"/>
    <w:rsid w:val="4E904D6F"/>
    <w:rsid w:val="4EB57A84"/>
    <w:rsid w:val="4EB62556"/>
    <w:rsid w:val="4ED47EC7"/>
    <w:rsid w:val="4EE91FD7"/>
    <w:rsid w:val="4F103152"/>
    <w:rsid w:val="4F1C64CB"/>
    <w:rsid w:val="4F2744B3"/>
    <w:rsid w:val="4F452359"/>
    <w:rsid w:val="4F4715FA"/>
    <w:rsid w:val="4F943081"/>
    <w:rsid w:val="4F9E6347"/>
    <w:rsid w:val="4FCD61E9"/>
    <w:rsid w:val="50006DE3"/>
    <w:rsid w:val="500656C2"/>
    <w:rsid w:val="50176561"/>
    <w:rsid w:val="50491E80"/>
    <w:rsid w:val="505763CF"/>
    <w:rsid w:val="505E0A04"/>
    <w:rsid w:val="508D2BEF"/>
    <w:rsid w:val="509E2C90"/>
    <w:rsid w:val="50B353F2"/>
    <w:rsid w:val="50F64EF1"/>
    <w:rsid w:val="510154CE"/>
    <w:rsid w:val="51107201"/>
    <w:rsid w:val="51162C90"/>
    <w:rsid w:val="511E5711"/>
    <w:rsid w:val="51207DEF"/>
    <w:rsid w:val="512B6148"/>
    <w:rsid w:val="51635E96"/>
    <w:rsid w:val="51856B29"/>
    <w:rsid w:val="5195255E"/>
    <w:rsid w:val="51A26BD4"/>
    <w:rsid w:val="51CE6BC7"/>
    <w:rsid w:val="51E72241"/>
    <w:rsid w:val="51F20F1A"/>
    <w:rsid w:val="51F378D2"/>
    <w:rsid w:val="52133E2D"/>
    <w:rsid w:val="521E5054"/>
    <w:rsid w:val="52317010"/>
    <w:rsid w:val="52466C2B"/>
    <w:rsid w:val="524B6694"/>
    <w:rsid w:val="52527E56"/>
    <w:rsid w:val="525E1342"/>
    <w:rsid w:val="52814DEF"/>
    <w:rsid w:val="528C076E"/>
    <w:rsid w:val="52A260BD"/>
    <w:rsid w:val="52A702AA"/>
    <w:rsid w:val="52BA2D23"/>
    <w:rsid w:val="52D51A9A"/>
    <w:rsid w:val="534B65A5"/>
    <w:rsid w:val="53637E4F"/>
    <w:rsid w:val="53736A2B"/>
    <w:rsid w:val="5379273B"/>
    <w:rsid w:val="5383063C"/>
    <w:rsid w:val="53832190"/>
    <w:rsid w:val="539A419C"/>
    <w:rsid w:val="53B4094B"/>
    <w:rsid w:val="53CE302B"/>
    <w:rsid w:val="53CE53C7"/>
    <w:rsid w:val="53F24A84"/>
    <w:rsid w:val="53F53BAC"/>
    <w:rsid w:val="5409375D"/>
    <w:rsid w:val="543535CD"/>
    <w:rsid w:val="54441842"/>
    <w:rsid w:val="547045A6"/>
    <w:rsid w:val="547C47BD"/>
    <w:rsid w:val="549D21A1"/>
    <w:rsid w:val="54A62455"/>
    <w:rsid w:val="54B654F4"/>
    <w:rsid w:val="54BF007F"/>
    <w:rsid w:val="54C648D5"/>
    <w:rsid w:val="54CD3059"/>
    <w:rsid w:val="55206A4F"/>
    <w:rsid w:val="55327BEB"/>
    <w:rsid w:val="553A7580"/>
    <w:rsid w:val="554C1120"/>
    <w:rsid w:val="55613CF6"/>
    <w:rsid w:val="557E563E"/>
    <w:rsid w:val="558652FA"/>
    <w:rsid w:val="55A25483"/>
    <w:rsid w:val="55A67D46"/>
    <w:rsid w:val="55A771B1"/>
    <w:rsid w:val="55B4538F"/>
    <w:rsid w:val="55CB4485"/>
    <w:rsid w:val="55CD6F95"/>
    <w:rsid w:val="562C5E66"/>
    <w:rsid w:val="563C4F4E"/>
    <w:rsid w:val="56583131"/>
    <w:rsid w:val="5676720F"/>
    <w:rsid w:val="56B876C6"/>
    <w:rsid w:val="56E74CD0"/>
    <w:rsid w:val="56FC333D"/>
    <w:rsid w:val="57280EC4"/>
    <w:rsid w:val="574A26EB"/>
    <w:rsid w:val="575D586F"/>
    <w:rsid w:val="57863FBA"/>
    <w:rsid w:val="57946A61"/>
    <w:rsid w:val="57985452"/>
    <w:rsid w:val="57ED0B76"/>
    <w:rsid w:val="57FB5CBF"/>
    <w:rsid w:val="57FC7C1C"/>
    <w:rsid w:val="581F4936"/>
    <w:rsid w:val="58537425"/>
    <w:rsid w:val="585D05F1"/>
    <w:rsid w:val="586A75FC"/>
    <w:rsid w:val="587D0C89"/>
    <w:rsid w:val="588951D5"/>
    <w:rsid w:val="588A37F0"/>
    <w:rsid w:val="589C118D"/>
    <w:rsid w:val="58AE4223"/>
    <w:rsid w:val="58B93899"/>
    <w:rsid w:val="58D84C60"/>
    <w:rsid w:val="58E87F93"/>
    <w:rsid w:val="58F216D3"/>
    <w:rsid w:val="58F23A76"/>
    <w:rsid w:val="59010835"/>
    <w:rsid w:val="59093FD8"/>
    <w:rsid w:val="591D6C41"/>
    <w:rsid w:val="59516B20"/>
    <w:rsid w:val="59583AC0"/>
    <w:rsid w:val="598044CA"/>
    <w:rsid w:val="598A70E9"/>
    <w:rsid w:val="598B6E48"/>
    <w:rsid w:val="598C360A"/>
    <w:rsid w:val="59C426F2"/>
    <w:rsid w:val="59FF1F75"/>
    <w:rsid w:val="5A470AE8"/>
    <w:rsid w:val="5A4A5193"/>
    <w:rsid w:val="5A560F22"/>
    <w:rsid w:val="5A6C7D2E"/>
    <w:rsid w:val="5A7B112E"/>
    <w:rsid w:val="5AB80983"/>
    <w:rsid w:val="5AC37555"/>
    <w:rsid w:val="5AF30D42"/>
    <w:rsid w:val="5B0D111E"/>
    <w:rsid w:val="5B2E3A0B"/>
    <w:rsid w:val="5B5C2F51"/>
    <w:rsid w:val="5B723E57"/>
    <w:rsid w:val="5B7624EA"/>
    <w:rsid w:val="5B862A51"/>
    <w:rsid w:val="5B8B6590"/>
    <w:rsid w:val="5BA4191E"/>
    <w:rsid w:val="5BA85A67"/>
    <w:rsid w:val="5BC049D4"/>
    <w:rsid w:val="5BCF2373"/>
    <w:rsid w:val="5BE325DD"/>
    <w:rsid w:val="5BF55FE7"/>
    <w:rsid w:val="5C0834A2"/>
    <w:rsid w:val="5C294312"/>
    <w:rsid w:val="5C301412"/>
    <w:rsid w:val="5C43363E"/>
    <w:rsid w:val="5C71298A"/>
    <w:rsid w:val="5C82255E"/>
    <w:rsid w:val="5C8410D1"/>
    <w:rsid w:val="5C947A98"/>
    <w:rsid w:val="5CA91EFA"/>
    <w:rsid w:val="5CC300BC"/>
    <w:rsid w:val="5CD30874"/>
    <w:rsid w:val="5CDD7AEB"/>
    <w:rsid w:val="5CF7393C"/>
    <w:rsid w:val="5D08575C"/>
    <w:rsid w:val="5D0B1DE5"/>
    <w:rsid w:val="5D194F1F"/>
    <w:rsid w:val="5D290EAF"/>
    <w:rsid w:val="5D366863"/>
    <w:rsid w:val="5D4062B9"/>
    <w:rsid w:val="5D4A015E"/>
    <w:rsid w:val="5D5D5842"/>
    <w:rsid w:val="5D767F4A"/>
    <w:rsid w:val="5D8503BA"/>
    <w:rsid w:val="5DA407BD"/>
    <w:rsid w:val="5DAF0F9E"/>
    <w:rsid w:val="5DB96521"/>
    <w:rsid w:val="5DEB162E"/>
    <w:rsid w:val="5DF634CD"/>
    <w:rsid w:val="5DF9731E"/>
    <w:rsid w:val="5E077362"/>
    <w:rsid w:val="5E153F75"/>
    <w:rsid w:val="5E160100"/>
    <w:rsid w:val="5E160F94"/>
    <w:rsid w:val="5E194732"/>
    <w:rsid w:val="5E2231F3"/>
    <w:rsid w:val="5E2B7A0C"/>
    <w:rsid w:val="5E5E55E6"/>
    <w:rsid w:val="5E650685"/>
    <w:rsid w:val="5E7F7ACF"/>
    <w:rsid w:val="5E8C517F"/>
    <w:rsid w:val="5EA34DEE"/>
    <w:rsid w:val="5EB75294"/>
    <w:rsid w:val="5EDA67C0"/>
    <w:rsid w:val="5EED19A5"/>
    <w:rsid w:val="5F141987"/>
    <w:rsid w:val="5F3C6574"/>
    <w:rsid w:val="5F466B0A"/>
    <w:rsid w:val="5F4A6153"/>
    <w:rsid w:val="5F4D5B10"/>
    <w:rsid w:val="5F7F145A"/>
    <w:rsid w:val="5F94769E"/>
    <w:rsid w:val="5FC733C5"/>
    <w:rsid w:val="5FCD4515"/>
    <w:rsid w:val="5FDE427C"/>
    <w:rsid w:val="5FE04BFA"/>
    <w:rsid w:val="5FFA06EA"/>
    <w:rsid w:val="6007777D"/>
    <w:rsid w:val="602B42B4"/>
    <w:rsid w:val="606C55B7"/>
    <w:rsid w:val="606E6F34"/>
    <w:rsid w:val="60AE0DE2"/>
    <w:rsid w:val="60B046CD"/>
    <w:rsid w:val="60BD1B54"/>
    <w:rsid w:val="60E1462D"/>
    <w:rsid w:val="61017955"/>
    <w:rsid w:val="61121956"/>
    <w:rsid w:val="61191105"/>
    <w:rsid w:val="611A68F9"/>
    <w:rsid w:val="61476EDC"/>
    <w:rsid w:val="61556385"/>
    <w:rsid w:val="617A41D7"/>
    <w:rsid w:val="618D17DC"/>
    <w:rsid w:val="61B633D6"/>
    <w:rsid w:val="61BD4B86"/>
    <w:rsid w:val="61D27745"/>
    <w:rsid w:val="61DF28D7"/>
    <w:rsid w:val="624D4C2F"/>
    <w:rsid w:val="62640C6F"/>
    <w:rsid w:val="62674139"/>
    <w:rsid w:val="626F3A90"/>
    <w:rsid w:val="627C3D85"/>
    <w:rsid w:val="62B96D62"/>
    <w:rsid w:val="62CB7EAD"/>
    <w:rsid w:val="630E15D8"/>
    <w:rsid w:val="63601D5D"/>
    <w:rsid w:val="63C83B06"/>
    <w:rsid w:val="63D517E2"/>
    <w:rsid w:val="63EB0B76"/>
    <w:rsid w:val="640B7643"/>
    <w:rsid w:val="642E1DB2"/>
    <w:rsid w:val="64B01511"/>
    <w:rsid w:val="64BB35D0"/>
    <w:rsid w:val="64CA7AA2"/>
    <w:rsid w:val="64E37F23"/>
    <w:rsid w:val="65087B79"/>
    <w:rsid w:val="65334E6E"/>
    <w:rsid w:val="653643BA"/>
    <w:rsid w:val="655B274B"/>
    <w:rsid w:val="65775B4F"/>
    <w:rsid w:val="658A0058"/>
    <w:rsid w:val="65967271"/>
    <w:rsid w:val="65974878"/>
    <w:rsid w:val="65EA1053"/>
    <w:rsid w:val="65ED3C34"/>
    <w:rsid w:val="66257B1A"/>
    <w:rsid w:val="665B5341"/>
    <w:rsid w:val="665E09E7"/>
    <w:rsid w:val="6669505F"/>
    <w:rsid w:val="667466F5"/>
    <w:rsid w:val="66760BB4"/>
    <w:rsid w:val="667D5F7A"/>
    <w:rsid w:val="667E093D"/>
    <w:rsid w:val="6683110D"/>
    <w:rsid w:val="66B70072"/>
    <w:rsid w:val="66E66301"/>
    <w:rsid w:val="67072840"/>
    <w:rsid w:val="67242C3F"/>
    <w:rsid w:val="6733018E"/>
    <w:rsid w:val="674635FF"/>
    <w:rsid w:val="67543AD8"/>
    <w:rsid w:val="676A46E0"/>
    <w:rsid w:val="67837919"/>
    <w:rsid w:val="67876B37"/>
    <w:rsid w:val="67A21038"/>
    <w:rsid w:val="67AB7AE8"/>
    <w:rsid w:val="67C93D26"/>
    <w:rsid w:val="68190FE8"/>
    <w:rsid w:val="68372F2D"/>
    <w:rsid w:val="683C3E55"/>
    <w:rsid w:val="68454B64"/>
    <w:rsid w:val="68561036"/>
    <w:rsid w:val="68593C6B"/>
    <w:rsid w:val="685E2504"/>
    <w:rsid w:val="68645905"/>
    <w:rsid w:val="68A70E99"/>
    <w:rsid w:val="68AC1FD9"/>
    <w:rsid w:val="68B45283"/>
    <w:rsid w:val="68DB273A"/>
    <w:rsid w:val="68DE2E85"/>
    <w:rsid w:val="68E45906"/>
    <w:rsid w:val="69176164"/>
    <w:rsid w:val="6918748E"/>
    <w:rsid w:val="692357F7"/>
    <w:rsid w:val="692C1E96"/>
    <w:rsid w:val="692E097B"/>
    <w:rsid w:val="693A20E0"/>
    <w:rsid w:val="695176E0"/>
    <w:rsid w:val="695C6008"/>
    <w:rsid w:val="69BA5DE8"/>
    <w:rsid w:val="69CC0D6F"/>
    <w:rsid w:val="69EB2E2E"/>
    <w:rsid w:val="69F15A6A"/>
    <w:rsid w:val="6A386E04"/>
    <w:rsid w:val="6A3F7074"/>
    <w:rsid w:val="6A58337B"/>
    <w:rsid w:val="6A6741EA"/>
    <w:rsid w:val="6A9D2AA1"/>
    <w:rsid w:val="6AA839DE"/>
    <w:rsid w:val="6AAE410D"/>
    <w:rsid w:val="6ACB1BF6"/>
    <w:rsid w:val="6AF02F04"/>
    <w:rsid w:val="6AF611D8"/>
    <w:rsid w:val="6B0031A2"/>
    <w:rsid w:val="6B1A3D5E"/>
    <w:rsid w:val="6B241CCD"/>
    <w:rsid w:val="6B455983"/>
    <w:rsid w:val="6B5A2FBD"/>
    <w:rsid w:val="6B6271E5"/>
    <w:rsid w:val="6B6657CD"/>
    <w:rsid w:val="6B8241A4"/>
    <w:rsid w:val="6B954837"/>
    <w:rsid w:val="6B9E7788"/>
    <w:rsid w:val="6BC8789D"/>
    <w:rsid w:val="6BFA2DD0"/>
    <w:rsid w:val="6BFB38E7"/>
    <w:rsid w:val="6BFD3347"/>
    <w:rsid w:val="6C0706E8"/>
    <w:rsid w:val="6C0A15F6"/>
    <w:rsid w:val="6C0D25E6"/>
    <w:rsid w:val="6C2F1991"/>
    <w:rsid w:val="6C59231F"/>
    <w:rsid w:val="6C5E316E"/>
    <w:rsid w:val="6C607916"/>
    <w:rsid w:val="6C6806A2"/>
    <w:rsid w:val="6CAB21A4"/>
    <w:rsid w:val="6CDB5943"/>
    <w:rsid w:val="6CF065A7"/>
    <w:rsid w:val="6D025A5C"/>
    <w:rsid w:val="6D1B2696"/>
    <w:rsid w:val="6D2E6E83"/>
    <w:rsid w:val="6D6A0160"/>
    <w:rsid w:val="6D9B4FAE"/>
    <w:rsid w:val="6DF271C0"/>
    <w:rsid w:val="6DF354B7"/>
    <w:rsid w:val="6E206A7C"/>
    <w:rsid w:val="6E377803"/>
    <w:rsid w:val="6E92169B"/>
    <w:rsid w:val="6EA477CA"/>
    <w:rsid w:val="6EC5750B"/>
    <w:rsid w:val="6ED147D2"/>
    <w:rsid w:val="6ED41238"/>
    <w:rsid w:val="6EE2062F"/>
    <w:rsid w:val="6EE25825"/>
    <w:rsid w:val="6EF92166"/>
    <w:rsid w:val="6F0E5AEF"/>
    <w:rsid w:val="6F217808"/>
    <w:rsid w:val="6F221EF1"/>
    <w:rsid w:val="6F2370E6"/>
    <w:rsid w:val="6F32784D"/>
    <w:rsid w:val="6F8455BF"/>
    <w:rsid w:val="6FA66D05"/>
    <w:rsid w:val="6FBD1B29"/>
    <w:rsid w:val="6FD44F83"/>
    <w:rsid w:val="6FF90D7E"/>
    <w:rsid w:val="701B4051"/>
    <w:rsid w:val="702116C7"/>
    <w:rsid w:val="7027160D"/>
    <w:rsid w:val="70A42BBF"/>
    <w:rsid w:val="70C81823"/>
    <w:rsid w:val="70D33843"/>
    <w:rsid w:val="70FC2BC9"/>
    <w:rsid w:val="71144174"/>
    <w:rsid w:val="711F0493"/>
    <w:rsid w:val="71653282"/>
    <w:rsid w:val="71902259"/>
    <w:rsid w:val="71962396"/>
    <w:rsid w:val="71B0763F"/>
    <w:rsid w:val="7203455F"/>
    <w:rsid w:val="72154B5E"/>
    <w:rsid w:val="721730DB"/>
    <w:rsid w:val="7218228D"/>
    <w:rsid w:val="72346021"/>
    <w:rsid w:val="723C1767"/>
    <w:rsid w:val="724B3129"/>
    <w:rsid w:val="7253099F"/>
    <w:rsid w:val="72730E2E"/>
    <w:rsid w:val="72966B21"/>
    <w:rsid w:val="72983A70"/>
    <w:rsid w:val="72A46806"/>
    <w:rsid w:val="72B572F6"/>
    <w:rsid w:val="72D15C1C"/>
    <w:rsid w:val="72DF4EDC"/>
    <w:rsid w:val="72FC5222"/>
    <w:rsid w:val="73034AFF"/>
    <w:rsid w:val="73740B6D"/>
    <w:rsid w:val="7380284A"/>
    <w:rsid w:val="7383090E"/>
    <w:rsid w:val="73CC3CCF"/>
    <w:rsid w:val="73CE64C0"/>
    <w:rsid w:val="73EF06EE"/>
    <w:rsid w:val="742566CE"/>
    <w:rsid w:val="74290A26"/>
    <w:rsid w:val="743A5B3F"/>
    <w:rsid w:val="744A35D1"/>
    <w:rsid w:val="74595BF2"/>
    <w:rsid w:val="746C0D63"/>
    <w:rsid w:val="74733CCF"/>
    <w:rsid w:val="749232AF"/>
    <w:rsid w:val="75075901"/>
    <w:rsid w:val="751B0FE9"/>
    <w:rsid w:val="753E640D"/>
    <w:rsid w:val="755F47FC"/>
    <w:rsid w:val="757C46C4"/>
    <w:rsid w:val="758E2A71"/>
    <w:rsid w:val="75A31960"/>
    <w:rsid w:val="76026F95"/>
    <w:rsid w:val="76064A86"/>
    <w:rsid w:val="760B1ACD"/>
    <w:rsid w:val="762434BA"/>
    <w:rsid w:val="763407C8"/>
    <w:rsid w:val="76342283"/>
    <w:rsid w:val="76365DE4"/>
    <w:rsid w:val="769D5A9A"/>
    <w:rsid w:val="76A803C5"/>
    <w:rsid w:val="76AA3900"/>
    <w:rsid w:val="76B408C7"/>
    <w:rsid w:val="76EF7ABB"/>
    <w:rsid w:val="76F301F5"/>
    <w:rsid w:val="772B11EF"/>
    <w:rsid w:val="77584A0F"/>
    <w:rsid w:val="77753B21"/>
    <w:rsid w:val="77807115"/>
    <w:rsid w:val="77F4399F"/>
    <w:rsid w:val="781858F5"/>
    <w:rsid w:val="78301563"/>
    <w:rsid w:val="786741FD"/>
    <w:rsid w:val="786D4B05"/>
    <w:rsid w:val="786D7037"/>
    <w:rsid w:val="787768B6"/>
    <w:rsid w:val="78A92571"/>
    <w:rsid w:val="78A976E1"/>
    <w:rsid w:val="78DF75F7"/>
    <w:rsid w:val="78E84C83"/>
    <w:rsid w:val="78F24BE8"/>
    <w:rsid w:val="79007B0C"/>
    <w:rsid w:val="797356AE"/>
    <w:rsid w:val="797413F0"/>
    <w:rsid w:val="79801A7B"/>
    <w:rsid w:val="798E4DFD"/>
    <w:rsid w:val="79B91F80"/>
    <w:rsid w:val="79DC3059"/>
    <w:rsid w:val="79E10609"/>
    <w:rsid w:val="79E453D4"/>
    <w:rsid w:val="7A2E3108"/>
    <w:rsid w:val="7A520075"/>
    <w:rsid w:val="7A665165"/>
    <w:rsid w:val="7A6D7227"/>
    <w:rsid w:val="7A986C94"/>
    <w:rsid w:val="7AEC60A3"/>
    <w:rsid w:val="7AF7268D"/>
    <w:rsid w:val="7AFD06C7"/>
    <w:rsid w:val="7B164557"/>
    <w:rsid w:val="7B326A2E"/>
    <w:rsid w:val="7B471A57"/>
    <w:rsid w:val="7B5025EF"/>
    <w:rsid w:val="7BCB3F7A"/>
    <w:rsid w:val="7BD069D6"/>
    <w:rsid w:val="7BF11E4E"/>
    <w:rsid w:val="7C00243A"/>
    <w:rsid w:val="7C106D8E"/>
    <w:rsid w:val="7C21038F"/>
    <w:rsid w:val="7C273AD7"/>
    <w:rsid w:val="7C346239"/>
    <w:rsid w:val="7C3A6540"/>
    <w:rsid w:val="7C4A5295"/>
    <w:rsid w:val="7C6569EB"/>
    <w:rsid w:val="7C6A3879"/>
    <w:rsid w:val="7C70348F"/>
    <w:rsid w:val="7C7C35BF"/>
    <w:rsid w:val="7C8615A3"/>
    <w:rsid w:val="7CE73BE2"/>
    <w:rsid w:val="7D4155B4"/>
    <w:rsid w:val="7D763AE4"/>
    <w:rsid w:val="7D7E49B8"/>
    <w:rsid w:val="7DA34158"/>
    <w:rsid w:val="7DA6466D"/>
    <w:rsid w:val="7DEC7044"/>
    <w:rsid w:val="7E016E4E"/>
    <w:rsid w:val="7E0C3BFC"/>
    <w:rsid w:val="7E12246C"/>
    <w:rsid w:val="7E3051D7"/>
    <w:rsid w:val="7E3606B9"/>
    <w:rsid w:val="7E473004"/>
    <w:rsid w:val="7E496DF0"/>
    <w:rsid w:val="7E5B4217"/>
    <w:rsid w:val="7E67086B"/>
    <w:rsid w:val="7E8C078B"/>
    <w:rsid w:val="7E9B314E"/>
    <w:rsid w:val="7EEA0EF5"/>
    <w:rsid w:val="7F242908"/>
    <w:rsid w:val="7F286C8C"/>
    <w:rsid w:val="7F2A0150"/>
    <w:rsid w:val="7F3A22CD"/>
    <w:rsid w:val="7F3C6FA7"/>
    <w:rsid w:val="7F560F66"/>
    <w:rsid w:val="7F696BD0"/>
    <w:rsid w:val="7F6A4E7F"/>
    <w:rsid w:val="7F7B4ACE"/>
    <w:rsid w:val="7FE469EC"/>
    <w:rsid w:val="7FF857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5"/>
    <w:next w:val="5"/>
    <w:qFormat/>
    <w:uiPriority w:val="0"/>
    <w:pPr>
      <w:tabs>
        <w:tab w:val="left" w:pos="1440"/>
      </w:tabs>
      <w:spacing w:beforeAutospacing="1" w:afterAutospacing="1"/>
      <w:jc w:val="left"/>
      <w:outlineLvl w:val="0"/>
    </w:pPr>
    <w:rPr>
      <w:rFonts w:hint="eastAsia" w:ascii="宋体" w:hAnsi="宋体"/>
      <w:kern w:val="44"/>
      <w:sz w:val="48"/>
      <w:szCs w:val="48"/>
    </w:rPr>
  </w:style>
  <w:style w:type="paragraph" w:styleId="5">
    <w:name w:val="heading 2"/>
    <w:basedOn w:val="1"/>
    <w:next w:val="1"/>
    <w:qFormat/>
    <w:uiPriority w:val="0"/>
    <w:pPr>
      <w:keepNext/>
      <w:keepLines/>
      <w:widowControl w:val="0"/>
      <w:numPr>
        <w:ilvl w:val="1"/>
        <w:numId w:val="1"/>
      </w:numPr>
      <w:adjustRightInd w:val="0"/>
      <w:spacing w:before="200" w:beforeLines="0" w:after="120" w:afterLines="0" w:line="240" w:lineRule="auto"/>
      <w:jc w:val="both"/>
      <w:outlineLvl w:val="1"/>
    </w:pPr>
    <w:rPr>
      <w:rFonts w:ascii="Times New Roman" w:hAnsi="Times New Roman" w:cs="Times New Roman"/>
      <w:b/>
      <w:bCs/>
      <w:kern w:val="2"/>
      <w:sz w:val="28"/>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420" w:firstLineChars="200"/>
    </w:pPr>
    <w:rPr>
      <w:rFonts w:ascii="仿宋_GB2312" w:eastAsia="仿宋_GB2312"/>
      <w:sz w:val="32"/>
    </w:rPr>
  </w:style>
  <w:style w:type="paragraph" w:styleId="3">
    <w:name w:val="Body Text Indent"/>
    <w:basedOn w:val="1"/>
    <w:qFormat/>
    <w:uiPriority w:val="0"/>
    <w:pPr>
      <w:spacing w:after="120"/>
      <w:ind w:left="420" w:leftChars="200"/>
    </w:pPr>
  </w:style>
  <w:style w:type="paragraph" w:styleId="6">
    <w:name w:val="Balloon Text"/>
    <w:basedOn w:val="1"/>
    <w:link w:val="18"/>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kern w:val="0"/>
      <w:sz w:val="24"/>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customStyle="1" w:styleId="15">
    <w:name w:val="页眉 字符"/>
    <w:basedOn w:val="11"/>
    <w:link w:val="8"/>
    <w:qFormat/>
    <w:uiPriority w:val="0"/>
    <w:rPr>
      <w:kern w:val="2"/>
      <w:sz w:val="18"/>
      <w:szCs w:val="18"/>
    </w:rPr>
  </w:style>
  <w:style w:type="character" w:customStyle="1" w:styleId="16">
    <w:name w:val="页脚 字符"/>
    <w:basedOn w:val="11"/>
    <w:link w:val="7"/>
    <w:qFormat/>
    <w:uiPriority w:val="0"/>
    <w:rPr>
      <w:kern w:val="2"/>
      <w:sz w:val="18"/>
      <w:szCs w:val="18"/>
    </w:rPr>
  </w:style>
  <w:style w:type="paragraph" w:styleId="17">
    <w:name w:val="List Paragraph"/>
    <w:basedOn w:val="1"/>
    <w:unhideWhenUsed/>
    <w:qFormat/>
    <w:uiPriority w:val="99"/>
    <w:pPr>
      <w:ind w:firstLine="420" w:firstLineChars="200"/>
    </w:pPr>
  </w:style>
  <w:style w:type="character" w:customStyle="1" w:styleId="18">
    <w:name w:val="批注框文本 字符"/>
    <w:basedOn w:val="11"/>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chart" Target="charts/chart2.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chart" Target="charts/chart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y\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y\Desktop\&#20381;&#30003;&#35831;&#20844;&#243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重点民生与公益事业信息公开</a:t>
            </a:r>
          </a:p>
        </c:rich>
      </c:tx>
      <c:layout>
        <c:manualLayout>
          <c:xMode val="edge"/>
          <c:yMode val="edge"/>
          <c:x val="0.274020916876927"/>
          <c:y val="0.0930595628675445"/>
        </c:manualLayout>
      </c:layout>
      <c:overlay val="0"/>
      <c:spPr>
        <a:noFill/>
        <a:ln>
          <a:noFill/>
        </a:ln>
        <a:effectLst/>
      </c:spPr>
    </c:title>
    <c:autoTitleDeleted val="0"/>
    <c:plotArea>
      <c:layout>
        <c:manualLayout>
          <c:layoutTarget val="inner"/>
          <c:xMode val="edge"/>
          <c:yMode val="edge"/>
          <c:x val="0.0797923315418789"/>
          <c:y val="0.250075964752355"/>
          <c:w val="0.907667964946446"/>
          <c:h val="0.622120935885749"/>
        </c:manualLayout>
      </c:layout>
      <c:barChart>
        <c:barDir val="col"/>
        <c:grouping val="clustered"/>
        <c:varyColors val="0"/>
        <c:ser>
          <c:idx val="0"/>
          <c:order val="0"/>
          <c:spPr>
            <a:solidFill>
              <a:schemeClr val="accent1"/>
            </a:solidFill>
            <a:ln>
              <a:noFill/>
            </a:ln>
            <a:effectLst/>
          </c:spPr>
          <c:invertIfNegative val="0"/>
          <c:dLbls>
            <c:delete val="1"/>
          </c:dLbls>
          <c:cat>
            <c:strRef>
              <c:f>'[新建 XLS 工作表.xls]Sheet1'!$A$2:$A$7</c:f>
              <c:strCache>
                <c:ptCount val="6"/>
                <c:pt idx="0">
                  <c:v>扶贫信息</c:v>
                </c:pt>
                <c:pt idx="1">
                  <c:v>社会救助</c:v>
                </c:pt>
                <c:pt idx="2">
                  <c:v>社会福利</c:v>
                </c:pt>
                <c:pt idx="3">
                  <c:v>教育信息</c:v>
                </c:pt>
                <c:pt idx="4">
                  <c:v>医疗卫生</c:v>
                </c:pt>
                <c:pt idx="5">
                  <c:v>环境保护</c:v>
                </c:pt>
              </c:strCache>
            </c:strRef>
          </c:cat>
          <c:val>
            <c:numRef>
              <c:f>'[新建 XLS 工作表.xls]Sheet1'!$B$2:$B$7</c:f>
              <c:numCache>
                <c:formatCode>General</c:formatCode>
                <c:ptCount val="6"/>
                <c:pt idx="0">
                  <c:v>167</c:v>
                </c:pt>
                <c:pt idx="1">
                  <c:v>81</c:v>
                </c:pt>
                <c:pt idx="2">
                  <c:v>60</c:v>
                </c:pt>
                <c:pt idx="3">
                  <c:v>46</c:v>
                </c:pt>
                <c:pt idx="4">
                  <c:v>76</c:v>
                </c:pt>
                <c:pt idx="5">
                  <c:v>156</c:v>
                </c:pt>
              </c:numCache>
            </c:numRef>
          </c:val>
        </c:ser>
        <c:dLbls>
          <c:showLegendKey val="0"/>
          <c:showVal val="0"/>
          <c:showCatName val="0"/>
          <c:showSerName val="0"/>
          <c:showPercent val="0"/>
          <c:showBubbleSize val="0"/>
        </c:dLbls>
        <c:gapWidth val="219"/>
        <c:overlap val="-27"/>
        <c:axId val="165017383"/>
        <c:axId val="620737191"/>
      </c:barChart>
      <c:catAx>
        <c:axId val="1650173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0737191"/>
        <c:crosses val="autoZero"/>
        <c:auto val="1"/>
        <c:lblAlgn val="ctr"/>
        <c:lblOffset val="100"/>
        <c:noMultiLvlLbl val="0"/>
      </c:catAx>
      <c:valAx>
        <c:axId val="620737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5017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2020</a:t>
            </a:r>
            <a:r>
              <a:rPr altLang="en-US"/>
              <a:t>年沂南县依申请公开答复情况</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[依申请公开.xls]Sheet2!$A$1:$A$6</c:f>
              <c:strCache>
                <c:ptCount val="6"/>
                <c:pt idx="0">
                  <c:v>予以公开</c:v>
                </c:pt>
                <c:pt idx="1">
                  <c:v>部分公开</c:v>
                </c:pt>
                <c:pt idx="2">
                  <c:v>不予公开</c:v>
                </c:pt>
                <c:pt idx="3">
                  <c:v>无法提供</c:v>
                </c:pt>
                <c:pt idx="4">
                  <c:v>不予处理</c:v>
                </c:pt>
                <c:pt idx="5">
                  <c:v>其他处理</c:v>
                </c:pt>
              </c:strCache>
            </c:strRef>
          </c:cat>
          <c:val>
            <c:numRef>
              <c:f>[依申请公开.xls]Sheet2!$B$1:$B$6</c:f>
              <c:numCache>
                <c:formatCode>General</c:formatCode>
                <c:ptCount val="6"/>
                <c:pt idx="0">
                  <c:v>16</c:v>
                </c:pt>
                <c:pt idx="1">
                  <c:v>2</c:v>
                </c:pt>
                <c:pt idx="2">
                  <c:v>4</c:v>
                </c:pt>
                <c:pt idx="3">
                  <c:v>7</c:v>
                </c:pt>
                <c:pt idx="4">
                  <c:v>2</c:v>
                </c:pt>
                <c:pt idx="5">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0</Words>
  <Characters>0</Characters>
  <Lines>0</Lines>
  <Paragraphs>0</Paragraphs>
  <TotalTime>25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hy</cp:lastModifiedBy>
  <dcterms:modified xsi:type="dcterms:W3CDTF">2021-05-28T06:23:55Z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068224EC5F8A4253ADF1D2ED07006C25</vt:lpwstr>
  </property>
</Properties>
</file>