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val="0"/>
        <w:spacing w:line="600" w:lineRule="exact"/>
        <w:jc w:val="both"/>
        <w:textAlignment w:val="auto"/>
        <w:rPr>
          <w:rFonts w:hint="default"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val="0"/>
        <w:autoSpaceDN w:val="0"/>
        <w:bidi w:val="0"/>
        <w:adjustRightInd w:val="0"/>
        <w:snapToGrid w:val="0"/>
        <w:spacing w:line="600" w:lineRule="exact"/>
        <w:jc w:val="center"/>
        <w:textAlignment w:val="auto"/>
        <w:rPr>
          <w:rFonts w:hint="default" w:ascii="方正小标宋简体" w:hAnsi="方正小标宋简体" w:eastAsia="方正小标宋简体" w:cs="方正小标宋简体"/>
          <w:sz w:val="44"/>
          <w:szCs w:val="44"/>
        </w:rPr>
      </w:pPr>
      <w:r>
        <w:rPr>
          <w:rFonts w:hint="default" w:ascii="方正小标宋简体" w:hAnsi="方正小标宋简体" w:eastAsia="方正小标宋简体" w:cs="方正小标宋简体"/>
          <w:sz w:val="44"/>
          <w:szCs w:val="44"/>
        </w:rPr>
        <w:t>沂南县</w:t>
      </w:r>
      <w:r>
        <w:rPr>
          <w:rFonts w:hint="eastAsia" w:ascii="方正小标宋简体" w:hAnsi="方正小标宋简体" w:eastAsia="方正小标宋简体" w:cs="方正小标宋简体"/>
          <w:sz w:val="44"/>
          <w:szCs w:val="44"/>
          <w:lang w:val="en-US" w:eastAsia="zh-CN"/>
        </w:rPr>
        <w:t>2021</w:t>
      </w:r>
      <w:r>
        <w:rPr>
          <w:rFonts w:hint="default" w:ascii="方正小标宋简体" w:hAnsi="方正小标宋简体" w:eastAsia="方正小标宋简体" w:cs="方正小标宋简体"/>
          <w:sz w:val="44"/>
          <w:szCs w:val="44"/>
        </w:rPr>
        <w:t>年政府信息公开工作年度报告</w:t>
      </w:r>
    </w:p>
    <w:p>
      <w:pPr>
        <w:keepNext w:val="0"/>
        <w:keepLines w:val="0"/>
        <w:pageBreakBefore w:val="0"/>
        <w:widowControl w:val="0"/>
        <w:kinsoku/>
        <w:wordWrap/>
        <w:overflowPunct/>
        <w:topLinePunct w:val="0"/>
        <w:autoSpaceDE w:val="0"/>
        <w:autoSpaceDN w:val="0"/>
        <w:bidi w:val="0"/>
        <w:adjustRightInd w:val="0"/>
        <w:snapToGrid w:val="0"/>
        <w:spacing w:line="600" w:lineRule="exact"/>
        <w:jc w:val="center"/>
        <w:textAlignment w:val="auto"/>
        <w:rPr>
          <w:rFonts w:hint="default" w:ascii="Times New Roman" w:hAnsi="Times New Roman" w:eastAsia="方正小标宋简体" w:cs="Times New Roman"/>
          <w:kern w:val="0"/>
          <w:sz w:val="52"/>
          <w:szCs w:val="52"/>
        </w:rPr>
      </w:pPr>
    </w:p>
    <w:p>
      <w:pPr>
        <w:keepNext w:val="0"/>
        <w:keepLines w:val="0"/>
        <w:pageBreakBefore w:val="0"/>
        <w:widowControl w:val="0"/>
        <w:kinsoku/>
        <w:wordWrap w:val="0"/>
        <w:overflowPunct/>
        <w:topLinePunct w:val="0"/>
        <w:autoSpaceDE w:val="0"/>
        <w:autoSpaceDN w:val="0"/>
        <w:bidi w:val="0"/>
        <w:adjustRightInd w:val="0"/>
        <w:snapToGrid/>
        <w:spacing w:line="560" w:lineRule="exact"/>
        <w:ind w:firstLine="640" w:firstLineChars="200"/>
        <w:jc w:val="both"/>
        <w:textAlignment w:val="auto"/>
        <w:rPr>
          <w:rFonts w:hint="default" w:ascii="Times New Roman" w:hAnsi="Times New Roman" w:eastAsia="仿宋_GB2312" w:cs="Times New Roman"/>
          <w:kern w:val="0"/>
          <w:sz w:val="32"/>
          <w:szCs w:val="32"/>
        </w:rPr>
      </w:pPr>
      <w:r>
        <w:rPr>
          <w:rFonts w:hint="eastAsia" w:eastAsia="仿宋_GB2312" w:cs="Times New Roman"/>
          <w:kern w:val="0"/>
          <w:sz w:val="32"/>
          <w:szCs w:val="32"/>
          <w:lang w:val="en-US" w:eastAsia="zh-CN"/>
        </w:rPr>
        <w:t>本年度报告</w:t>
      </w:r>
      <w:r>
        <w:rPr>
          <w:rFonts w:hint="default" w:ascii="Times New Roman" w:hAnsi="Times New Roman" w:eastAsia="仿宋_GB2312" w:cs="Times New Roman"/>
          <w:kern w:val="0"/>
          <w:sz w:val="32"/>
          <w:szCs w:val="32"/>
        </w:rPr>
        <w:t>根据《中华人民共和国政府信息公开条例》（以下简</w:t>
      </w:r>
      <w:r>
        <w:rPr>
          <w:rFonts w:hint="default" w:ascii="仿宋_GB2312" w:hAnsi="仿宋_GB2312" w:eastAsia="仿宋_GB2312" w:cs="仿宋_GB2312"/>
          <w:b w:val="0"/>
          <w:bCs w:val="0"/>
          <w:kern w:val="0"/>
          <w:sz w:val="32"/>
          <w:szCs w:val="32"/>
          <w:lang w:val="en-US" w:eastAsia="zh-CN" w:bidi="ar"/>
        </w:rPr>
        <w:t>称《条例》）和《国务院办公厅政府信息与政务公开办公室</w:t>
      </w:r>
      <w:r>
        <w:rPr>
          <w:rFonts w:hint="eastAsia" w:ascii="仿宋_GB2312" w:hAnsi="仿宋_GB2312" w:eastAsia="仿宋_GB2312" w:cs="仿宋_GB2312"/>
          <w:b w:val="0"/>
          <w:bCs w:val="0"/>
          <w:kern w:val="0"/>
          <w:sz w:val="32"/>
          <w:szCs w:val="32"/>
          <w:lang w:val="en-US" w:eastAsia="zh-CN" w:bidi="ar"/>
        </w:rPr>
        <w:t>关于印发&lt;中华人民共和国政府信息公开工作年度报告格式&gt;的通知</w:t>
      </w:r>
      <w:r>
        <w:rPr>
          <w:rFonts w:hint="default" w:ascii="仿宋_GB2312" w:hAnsi="仿宋_GB2312" w:eastAsia="仿宋_GB2312" w:cs="仿宋_GB2312"/>
          <w:b w:val="0"/>
          <w:bCs w:val="0"/>
          <w:kern w:val="0"/>
          <w:sz w:val="32"/>
          <w:szCs w:val="32"/>
          <w:lang w:val="en-US" w:eastAsia="zh-CN" w:bidi="ar"/>
        </w:rPr>
        <w:t>》（国办公开办函〔</w:t>
      </w:r>
      <w:r>
        <w:rPr>
          <w:rFonts w:hint="eastAsia" w:ascii="仿宋_GB2312" w:hAnsi="仿宋_GB2312" w:eastAsia="仿宋_GB2312" w:cs="仿宋_GB2312"/>
          <w:b w:val="0"/>
          <w:bCs w:val="0"/>
          <w:kern w:val="0"/>
          <w:sz w:val="32"/>
          <w:szCs w:val="32"/>
          <w:lang w:val="en-US" w:eastAsia="zh-CN" w:bidi="ar"/>
        </w:rPr>
        <w:t>2021</w:t>
      </w:r>
      <w:r>
        <w:rPr>
          <w:rFonts w:hint="default" w:ascii="仿宋_GB2312" w:hAnsi="仿宋_GB2312" w:eastAsia="仿宋_GB2312" w:cs="仿宋_GB2312"/>
          <w:b w:val="0"/>
          <w:bCs w:val="0"/>
          <w:kern w:val="0"/>
          <w:sz w:val="32"/>
          <w:szCs w:val="32"/>
          <w:lang w:val="en-US" w:eastAsia="zh-CN" w:bidi="ar"/>
        </w:rPr>
        <w:t>〕</w:t>
      </w:r>
      <w:r>
        <w:rPr>
          <w:rFonts w:hint="eastAsia" w:ascii="仿宋_GB2312" w:hAnsi="仿宋_GB2312" w:eastAsia="仿宋_GB2312" w:cs="仿宋_GB2312"/>
          <w:b w:val="0"/>
          <w:bCs w:val="0"/>
          <w:kern w:val="0"/>
          <w:sz w:val="32"/>
          <w:szCs w:val="32"/>
          <w:lang w:val="en-US" w:eastAsia="zh-CN" w:bidi="ar"/>
        </w:rPr>
        <w:t>30</w:t>
      </w:r>
      <w:r>
        <w:rPr>
          <w:rFonts w:hint="default" w:ascii="仿宋_GB2312" w:hAnsi="仿宋_GB2312" w:eastAsia="仿宋_GB2312" w:cs="仿宋_GB2312"/>
          <w:b w:val="0"/>
          <w:bCs w:val="0"/>
          <w:kern w:val="0"/>
          <w:sz w:val="32"/>
          <w:szCs w:val="32"/>
          <w:lang w:val="en-US" w:eastAsia="zh-CN" w:bidi="ar"/>
        </w:rPr>
        <w:t>号）</w:t>
      </w:r>
      <w:r>
        <w:rPr>
          <w:rFonts w:hint="eastAsia" w:ascii="仿宋_GB2312" w:hAnsi="仿宋_GB2312" w:eastAsia="仿宋_GB2312" w:cs="仿宋_GB2312"/>
          <w:b w:val="0"/>
          <w:bCs w:val="0"/>
          <w:kern w:val="0"/>
          <w:sz w:val="32"/>
          <w:szCs w:val="32"/>
          <w:lang w:val="en-US" w:eastAsia="zh-CN" w:bidi="ar"/>
        </w:rPr>
        <w:t>相关</w:t>
      </w:r>
      <w:r>
        <w:rPr>
          <w:rFonts w:hint="default" w:ascii="仿宋_GB2312" w:hAnsi="仿宋_GB2312" w:eastAsia="仿宋_GB2312" w:cs="仿宋_GB2312"/>
          <w:b w:val="0"/>
          <w:bCs w:val="0"/>
          <w:kern w:val="0"/>
          <w:sz w:val="32"/>
          <w:szCs w:val="32"/>
          <w:lang w:val="en-US" w:eastAsia="zh-CN" w:bidi="ar"/>
        </w:rPr>
        <w:t>要求</w:t>
      </w:r>
      <w:r>
        <w:rPr>
          <w:rFonts w:hint="eastAsia" w:ascii="仿宋_GB2312" w:hAnsi="仿宋_GB2312" w:eastAsia="仿宋_GB2312" w:cs="仿宋_GB2312"/>
          <w:b w:val="0"/>
          <w:bCs w:val="0"/>
          <w:kern w:val="0"/>
          <w:sz w:val="32"/>
          <w:szCs w:val="32"/>
          <w:lang w:val="en-US" w:eastAsia="zh-CN" w:bidi="ar"/>
        </w:rPr>
        <w:t>编制</w:t>
      </w:r>
      <w:r>
        <w:rPr>
          <w:rFonts w:hint="default" w:ascii="仿宋_GB2312" w:hAnsi="仿宋_GB2312" w:eastAsia="仿宋_GB2312" w:cs="仿宋_GB2312"/>
          <w:b w:val="0"/>
          <w:bCs w:val="0"/>
          <w:kern w:val="0"/>
          <w:sz w:val="32"/>
          <w:szCs w:val="32"/>
          <w:lang w:val="en-US" w:eastAsia="zh-CN" w:bidi="ar"/>
        </w:rPr>
        <w:t>，</w:t>
      </w:r>
      <w:r>
        <w:rPr>
          <w:rFonts w:hint="eastAsia" w:ascii="仿宋_GB2312" w:hAnsi="仿宋_GB2312" w:eastAsia="仿宋_GB2312" w:cs="仿宋_GB2312"/>
          <w:b w:val="0"/>
          <w:bCs w:val="0"/>
          <w:kern w:val="0"/>
          <w:sz w:val="32"/>
          <w:szCs w:val="32"/>
          <w:lang w:val="en-US" w:eastAsia="zh-CN" w:bidi="ar"/>
        </w:rPr>
        <w:t>内容包括总体情况、主动公开政府信息情况、收到</w:t>
      </w:r>
      <w:bookmarkStart w:id="0" w:name="_GoBack"/>
      <w:bookmarkEnd w:id="0"/>
      <w:r>
        <w:rPr>
          <w:rFonts w:hint="eastAsia" w:ascii="仿宋_GB2312" w:hAnsi="仿宋_GB2312" w:eastAsia="仿宋_GB2312" w:cs="仿宋_GB2312"/>
          <w:b w:val="0"/>
          <w:bCs w:val="0"/>
          <w:kern w:val="0"/>
          <w:sz w:val="32"/>
          <w:szCs w:val="32"/>
          <w:lang w:val="en-US" w:eastAsia="zh-CN" w:bidi="ar"/>
        </w:rPr>
        <w:t>和处理政府信息公开申请情况、政府信息公开行政复议和行政诉讼情况、存在的主要问题及改进措施、其他需要报告的事</w:t>
      </w:r>
      <w:r>
        <w:rPr>
          <w:rFonts w:hint="eastAsia" w:ascii="Times New Roman" w:hAnsi="Times New Roman" w:eastAsia="仿宋_GB2312" w:cs="Times New Roman"/>
          <w:kern w:val="0"/>
          <w:sz w:val="32"/>
          <w:szCs w:val="32"/>
        </w:rPr>
        <w:t>项共6个部分组成。</w:t>
      </w:r>
      <w:r>
        <w:rPr>
          <w:rFonts w:hint="eastAsia" w:ascii="Times New Roman" w:hAnsi="Times New Roman" w:eastAsia="仿宋_GB2312" w:cs="Times New Roman"/>
          <w:kern w:val="0"/>
          <w:sz w:val="32"/>
          <w:szCs w:val="32"/>
          <w:lang w:val="en-US" w:eastAsia="zh-CN"/>
        </w:rPr>
        <w:t>本报告中</w:t>
      </w:r>
      <w:r>
        <w:rPr>
          <w:rFonts w:hint="default" w:ascii="Times New Roman" w:hAnsi="Times New Roman" w:eastAsia="仿宋_GB2312" w:cs="Times New Roman"/>
          <w:kern w:val="0"/>
          <w:sz w:val="32"/>
          <w:szCs w:val="32"/>
        </w:rPr>
        <w:t>所列数据统计期限自</w:t>
      </w:r>
      <w:r>
        <w:rPr>
          <w:rFonts w:hint="eastAsia" w:ascii="Times New Roman" w:hAnsi="Times New Roman" w:eastAsia="仿宋_GB2312" w:cs="Times New Roman"/>
          <w:kern w:val="0"/>
          <w:sz w:val="32"/>
          <w:szCs w:val="32"/>
          <w:lang w:val="en-US" w:eastAsia="zh-CN"/>
        </w:rPr>
        <w:t>202</w:t>
      </w:r>
      <w:r>
        <w:rPr>
          <w:rFonts w:hint="eastAsia" w:eastAsia="仿宋_GB2312" w:cs="Times New Roman"/>
          <w:kern w:val="0"/>
          <w:sz w:val="32"/>
          <w:szCs w:val="32"/>
          <w:lang w:val="en-US" w:eastAsia="zh-CN"/>
        </w:rPr>
        <w:t>1</w:t>
      </w:r>
      <w:r>
        <w:rPr>
          <w:rFonts w:hint="default" w:ascii="Times New Roman" w:hAnsi="Times New Roman" w:eastAsia="仿宋_GB2312" w:cs="Times New Roman"/>
          <w:kern w:val="0"/>
          <w:sz w:val="32"/>
          <w:szCs w:val="32"/>
        </w:rPr>
        <w:t>年1月1日起至20</w:t>
      </w:r>
      <w:r>
        <w:rPr>
          <w:rFonts w:hint="eastAsia" w:ascii="Times New Roman" w:hAnsi="Times New Roman" w:eastAsia="仿宋_GB2312" w:cs="Times New Roman"/>
          <w:kern w:val="0"/>
          <w:sz w:val="32"/>
          <w:szCs w:val="32"/>
          <w:lang w:val="en-US" w:eastAsia="zh-CN"/>
        </w:rPr>
        <w:t>2</w:t>
      </w:r>
      <w:r>
        <w:rPr>
          <w:rFonts w:hint="eastAsia" w:eastAsia="仿宋_GB2312" w:cs="Times New Roman"/>
          <w:kern w:val="0"/>
          <w:sz w:val="32"/>
          <w:szCs w:val="32"/>
          <w:lang w:val="en-US" w:eastAsia="zh-CN"/>
        </w:rPr>
        <w:t>1</w:t>
      </w:r>
      <w:r>
        <w:rPr>
          <w:rFonts w:hint="default" w:ascii="Times New Roman" w:hAnsi="Times New Roman" w:eastAsia="仿宋_GB2312" w:cs="Times New Roman"/>
          <w:kern w:val="0"/>
          <w:sz w:val="32"/>
          <w:szCs w:val="32"/>
        </w:rPr>
        <w:t>年12月31日止。本报告电子版可在</w:t>
      </w:r>
      <w:r>
        <w:rPr>
          <w:rFonts w:hint="eastAsia" w:eastAsia="仿宋_GB2312" w:cs="Times New Roman"/>
          <w:kern w:val="0"/>
          <w:sz w:val="32"/>
          <w:szCs w:val="32"/>
          <w:lang w:val="en-US" w:eastAsia="zh-CN"/>
        </w:rPr>
        <w:t>沂南县</w:t>
      </w:r>
      <w:r>
        <w:rPr>
          <w:rFonts w:hint="default" w:ascii="Times New Roman" w:hAnsi="Times New Roman" w:eastAsia="仿宋_GB2312" w:cs="Times New Roman"/>
          <w:kern w:val="0"/>
          <w:sz w:val="32"/>
          <w:szCs w:val="32"/>
        </w:rPr>
        <w:t>人民政府门户网站（http://www.yinan.gov.cn/）查阅或下载。如对本报告有疑问，请与</w:t>
      </w:r>
      <w:r>
        <w:rPr>
          <w:rFonts w:hint="eastAsia" w:eastAsia="仿宋_GB2312" w:cs="Times New Roman"/>
          <w:kern w:val="0"/>
          <w:sz w:val="32"/>
          <w:szCs w:val="32"/>
          <w:lang w:val="en-US" w:eastAsia="zh-CN"/>
        </w:rPr>
        <w:t>沂南县</w:t>
      </w:r>
      <w:r>
        <w:rPr>
          <w:rFonts w:hint="default" w:ascii="Times New Roman" w:hAnsi="Times New Roman" w:eastAsia="仿宋_GB2312" w:cs="Times New Roman"/>
          <w:kern w:val="0"/>
          <w:sz w:val="32"/>
          <w:szCs w:val="32"/>
        </w:rPr>
        <w:t>人民政府办公室联系（地址：</w:t>
      </w:r>
      <w:r>
        <w:rPr>
          <w:rFonts w:hint="eastAsia" w:eastAsia="仿宋_GB2312" w:cs="Times New Roman"/>
          <w:kern w:val="0"/>
          <w:sz w:val="32"/>
          <w:szCs w:val="32"/>
          <w:lang w:val="en-US" w:eastAsia="zh-CN"/>
        </w:rPr>
        <w:t>沂南县人民路</w:t>
      </w:r>
      <w:r>
        <w:rPr>
          <w:rFonts w:hint="default" w:ascii="Times New Roman" w:hAnsi="Times New Roman" w:eastAsia="仿宋_GB2312" w:cs="Times New Roman"/>
          <w:kern w:val="0"/>
          <w:sz w:val="32"/>
          <w:szCs w:val="32"/>
        </w:rPr>
        <w:t>行政中心</w:t>
      </w:r>
      <w:r>
        <w:rPr>
          <w:rFonts w:hint="eastAsia" w:eastAsia="仿宋_GB2312" w:cs="Times New Roman"/>
          <w:kern w:val="0"/>
          <w:sz w:val="32"/>
          <w:szCs w:val="32"/>
          <w:lang w:val="en-US" w:eastAsia="zh-CN"/>
        </w:rPr>
        <w:t>42号</w:t>
      </w:r>
      <w:r>
        <w:rPr>
          <w:rFonts w:hint="default" w:ascii="Times New Roman" w:hAnsi="Times New Roman" w:eastAsia="仿宋_GB2312" w:cs="Times New Roman"/>
          <w:kern w:val="0"/>
          <w:sz w:val="32"/>
          <w:szCs w:val="32"/>
        </w:rPr>
        <w:t>；邮编：276</w:t>
      </w:r>
      <w:r>
        <w:rPr>
          <w:rFonts w:hint="eastAsia"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00；电话：0539-</w:t>
      </w:r>
      <w:r>
        <w:rPr>
          <w:rFonts w:hint="eastAsia" w:eastAsia="仿宋_GB2312" w:cs="Times New Roman"/>
          <w:kern w:val="0"/>
          <w:sz w:val="32"/>
          <w:szCs w:val="32"/>
          <w:lang w:val="en-US" w:eastAsia="zh-CN"/>
        </w:rPr>
        <w:t>3229017</w:t>
      </w:r>
      <w:r>
        <w:rPr>
          <w:rFonts w:hint="default" w:ascii="Times New Roman" w:hAnsi="Times New Roman" w:eastAsia="仿宋_GB2312" w:cs="Times New Roman"/>
          <w:kern w:val="0"/>
          <w:sz w:val="32"/>
          <w:szCs w:val="32"/>
        </w:rPr>
        <w:t>；传真：0539-</w:t>
      </w:r>
      <w:r>
        <w:rPr>
          <w:rFonts w:hint="eastAsia" w:eastAsia="仿宋_GB2312" w:cs="Times New Roman"/>
          <w:kern w:val="0"/>
          <w:sz w:val="32"/>
          <w:szCs w:val="32"/>
          <w:lang w:val="en-US" w:eastAsia="zh-CN"/>
        </w:rPr>
        <w:t>3221962</w:t>
      </w:r>
      <w:r>
        <w:rPr>
          <w:rFonts w:hint="default" w:ascii="Times New Roman" w:hAnsi="Times New Roman" w:eastAsia="仿宋_GB2312" w:cs="Times New Roman"/>
          <w:kern w:val="0"/>
          <w:sz w:val="32"/>
          <w:szCs w:val="32"/>
        </w:rPr>
        <w:t>；电子邮箱：</w:t>
      </w:r>
      <w:r>
        <w:rPr>
          <w:rFonts w:hint="eastAsia" w:eastAsia="仿宋_GB2312" w:cs="Times New Roman"/>
          <w:kern w:val="0"/>
          <w:sz w:val="32"/>
          <w:szCs w:val="32"/>
          <w:lang w:val="en-US" w:eastAsia="zh-CN"/>
        </w:rPr>
        <w:t>ynxzfxxgk</w:t>
      </w:r>
      <w:r>
        <w:rPr>
          <w:rFonts w:hint="default" w:ascii="Times New Roman" w:hAnsi="Times New Roman" w:eastAsia="仿宋_GB2312" w:cs="Times New Roman"/>
          <w:kern w:val="0"/>
          <w:sz w:val="32"/>
          <w:szCs w:val="32"/>
        </w:rPr>
        <w:t>@ly.shandong.cn）。</w:t>
      </w:r>
    </w:p>
    <w:p>
      <w:pPr>
        <w:keepNext w:val="0"/>
        <w:keepLines w:val="0"/>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val="en-US" w:eastAsia="zh-CN"/>
        </w:rPr>
        <w:t>一、</w:t>
      </w:r>
      <w:r>
        <w:rPr>
          <w:rFonts w:hint="default" w:ascii="Times New Roman" w:hAnsi="Times New Roman" w:eastAsia="黑体" w:cs="Times New Roman"/>
          <w:sz w:val="32"/>
          <w:szCs w:val="32"/>
        </w:rPr>
        <w:t>总体情况</w:t>
      </w:r>
    </w:p>
    <w:p>
      <w:pPr>
        <w:pStyle w:val="2"/>
        <w:keepNext w:val="0"/>
        <w:keepLines w:val="0"/>
        <w:pageBreakBefore w:val="0"/>
        <w:kinsoku/>
        <w:wordWrap/>
        <w:overflowPunct/>
        <w:topLinePunct w:val="0"/>
        <w:bidi w:val="0"/>
        <w:spacing w:line="560" w:lineRule="exact"/>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202</w:t>
      </w:r>
      <w:r>
        <w:rPr>
          <w:rFonts w:hint="eastAsia" w:ascii="Times New Roman" w:cs="Times New Roman"/>
          <w:kern w:val="0"/>
          <w:sz w:val="32"/>
          <w:szCs w:val="32"/>
          <w:lang w:val="en-US" w:eastAsia="zh-CN" w:bidi="ar-SA"/>
        </w:rPr>
        <w:t>1</w:t>
      </w:r>
      <w:r>
        <w:rPr>
          <w:rFonts w:hint="eastAsia" w:ascii="Times New Roman" w:hAnsi="Times New Roman" w:eastAsia="仿宋_GB2312" w:cs="Times New Roman"/>
          <w:kern w:val="0"/>
          <w:sz w:val="32"/>
          <w:szCs w:val="32"/>
          <w:lang w:val="en-US" w:eastAsia="zh-CN" w:bidi="ar-SA"/>
        </w:rPr>
        <w:t>年，</w:t>
      </w:r>
      <w:r>
        <w:rPr>
          <w:rFonts w:hint="eastAsia" w:ascii="Times New Roman" w:cs="Times New Roman"/>
          <w:kern w:val="0"/>
          <w:sz w:val="32"/>
          <w:szCs w:val="32"/>
          <w:lang w:val="en-US" w:eastAsia="zh-CN" w:bidi="ar-SA"/>
        </w:rPr>
        <w:t>沂南县</w:t>
      </w:r>
      <w:r>
        <w:rPr>
          <w:rFonts w:hint="eastAsia" w:ascii="Times New Roman" w:hAnsi="Times New Roman" w:eastAsia="仿宋_GB2312" w:cs="Times New Roman"/>
          <w:kern w:val="0"/>
          <w:sz w:val="32"/>
          <w:szCs w:val="32"/>
          <w:lang w:val="en-US" w:eastAsia="zh-CN" w:bidi="ar-SA"/>
        </w:rPr>
        <w:t>以习近平新时代中国特色社会主义思想为指导，</w:t>
      </w:r>
      <w:r>
        <w:rPr>
          <w:rFonts w:hint="eastAsia" w:ascii="Times New Roman" w:cs="Times New Roman"/>
          <w:kern w:val="0"/>
          <w:sz w:val="32"/>
          <w:szCs w:val="32"/>
          <w:lang w:val="en-US" w:eastAsia="zh-CN" w:bidi="ar-SA"/>
        </w:rPr>
        <w:t>认真</w:t>
      </w:r>
      <w:r>
        <w:rPr>
          <w:rFonts w:hint="eastAsia" w:ascii="Times New Roman" w:hAnsi="Times New Roman" w:eastAsia="仿宋_GB2312" w:cs="Times New Roman"/>
          <w:kern w:val="0"/>
          <w:sz w:val="32"/>
          <w:szCs w:val="32"/>
          <w:lang w:val="en-US" w:eastAsia="zh-CN" w:bidi="ar-SA"/>
        </w:rPr>
        <w:t>贯彻</w:t>
      </w:r>
      <w:r>
        <w:rPr>
          <w:rFonts w:hint="eastAsia" w:ascii="Times New Roman" w:hAnsi="Times New Roman" w:eastAsia="仿宋_GB2312" w:cs="Times New Roman"/>
          <w:kern w:val="0"/>
          <w:sz w:val="32"/>
          <w:szCs w:val="32"/>
          <w:lang w:val="en-US" w:eastAsia="zh-CN"/>
        </w:rPr>
        <w:t>落实国家和省</w:t>
      </w:r>
      <w:r>
        <w:rPr>
          <w:rFonts w:hint="eastAsia" w:ascii="Times New Roman"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市关于推进政务公开工作的部署，</w:t>
      </w:r>
      <w:r>
        <w:rPr>
          <w:rFonts w:hint="eastAsia"/>
        </w:rPr>
        <w:t>坚持以人民为中心，不断拓展公开的广度和深度，</w:t>
      </w:r>
      <w:r>
        <w:rPr>
          <w:rFonts w:hint="eastAsia" w:ascii="Times New Roman" w:hAnsi="Times New Roman" w:eastAsia="仿宋_GB2312" w:cs="Times New Roman"/>
          <w:kern w:val="0"/>
          <w:sz w:val="32"/>
          <w:szCs w:val="32"/>
          <w:lang w:val="en-US" w:eastAsia="zh-CN" w:bidi="ar-SA"/>
        </w:rPr>
        <w:t>切实提升人民群众获得感和满意度。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rPr>
          <w:rFonts w:hint="eastAsia" w:ascii="仿宋_GB2312" w:eastAsia="仿宋_GB2312"/>
          <w:b w:val="0"/>
          <w:bCs w:val="0"/>
          <w:sz w:val="32"/>
          <w:szCs w:val="32"/>
          <w:lang w:val="en-US" w:eastAsia="zh-CN"/>
        </w:rPr>
      </w:pPr>
      <w:r>
        <w:rPr>
          <w:rFonts w:hint="eastAsia" w:ascii="楷体_GB2312" w:hAnsi="楷体_GB2312" w:eastAsia="楷体_GB2312" w:cs="楷体_GB2312"/>
          <w:kern w:val="0"/>
          <w:sz w:val="32"/>
          <w:szCs w:val="32"/>
          <w:lang w:val="en-US" w:eastAsia="zh-CN" w:bidi="ar"/>
        </w:rPr>
        <w:t>（一）</w:t>
      </w:r>
      <w:r>
        <w:rPr>
          <w:rFonts w:hint="default" w:ascii="楷体_GB2312" w:hAnsi="楷体_GB2312" w:eastAsia="楷体_GB2312" w:cs="楷体_GB2312"/>
          <w:kern w:val="0"/>
          <w:sz w:val="32"/>
          <w:szCs w:val="32"/>
          <w:lang w:val="en-US" w:eastAsia="zh-CN" w:bidi="ar"/>
        </w:rPr>
        <w:t>主动公开</w:t>
      </w:r>
    </w:p>
    <w:p>
      <w:pPr>
        <w:keepNext w:val="0"/>
        <w:keepLines w:val="0"/>
        <w:pageBreakBefore w:val="0"/>
        <w:kinsoku/>
        <w:overflowPunct/>
        <w:topLinePunct w:val="0"/>
        <w:bidi w:val="0"/>
        <w:spacing w:line="560" w:lineRule="exact"/>
        <w:ind w:firstLine="640" w:firstLineChars="200"/>
        <w:textAlignment w:val="auto"/>
        <w:rPr>
          <w:rFonts w:hint="eastAsia" w:eastAsia="仿宋_GB2312" w:cs="Times New Roman"/>
          <w:kern w:val="0"/>
          <w:sz w:val="32"/>
          <w:szCs w:val="32"/>
          <w:lang w:val="en-US" w:eastAsia="zh-CN"/>
        </w:rPr>
      </w:pPr>
      <w:r>
        <w:rPr>
          <w:rFonts w:hint="eastAsia" w:eastAsia="仿宋_GB2312" w:cs="Times New Roman"/>
          <w:kern w:val="0"/>
          <w:sz w:val="32"/>
          <w:szCs w:val="32"/>
          <w:lang w:val="en-US" w:eastAsia="zh-CN"/>
        </w:rPr>
        <w:t>2021年，全县共发布政务公开信息7269条。其中，集中发布16个乡镇（街道、开发区）及49个政府部门机构职能信息。公开县政府和县政府办公室文件41件，规范性文件9件，配发图文解读、专家解读、动漫解读等解读97次。依托山东政务服务平台，公开行政许可、行政处罚、行政强制等信息。公布沂南县2021年政府采购目录、限额标准及政府采购情况。按月公开行政事业性收费项目目录清单、依据和标准。发布2020年沂南县国民经济和社会发展统计公报、统计年鉴。公开县政府、16个乡镇（街道、开发区）和86个县直部门的预决算信息。发布2021年重大建设项目名单，集中展示6个重大项目实施情况。公开就业信息96条、教育信息132条。发布社会救助、社会保险、社会福利和养老服务等信息100余条。</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687695" cy="4757420"/>
            <wp:effectExtent l="0" t="0" r="1905" b="5080"/>
            <wp:docPr id="4" name="图片 4" descr="d163b16010ed4cc97e8be572e07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63b16010ed4cc97e8be572e072748"/>
                    <pic:cNvPicPr>
                      <a:picLocks noChangeAspect="1"/>
                    </pic:cNvPicPr>
                  </pic:nvPicPr>
                  <pic:blipFill>
                    <a:blip r:embed="rId4"/>
                    <a:stretch>
                      <a:fillRect/>
                    </a:stretch>
                  </pic:blipFill>
                  <pic:spPr>
                    <a:xfrm>
                      <a:off x="0" y="0"/>
                      <a:ext cx="5687695" cy="47574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lang w:val="en-US" w:eastAsia="zh-CN" w:bidi="ar"/>
        </w:rPr>
        <w:t>（二）依申请公开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eastAsia="仿宋_GB2312" w:cs="Times New Roman"/>
          <w:kern w:val="0"/>
          <w:sz w:val="32"/>
          <w:szCs w:val="32"/>
          <w:lang w:val="en-US" w:eastAsia="zh-CN"/>
        </w:rPr>
        <w:t>进一步完</w:t>
      </w:r>
      <w:r>
        <w:rPr>
          <w:rFonts w:hint="eastAsia" w:ascii="Times New Roman" w:hAnsi="Times New Roman" w:eastAsia="仿宋_GB2312" w:cs="Times New Roman"/>
          <w:kern w:val="0"/>
          <w:sz w:val="32"/>
          <w:szCs w:val="32"/>
          <w:lang w:val="en-US" w:eastAsia="zh-CN"/>
        </w:rPr>
        <w:t>善登记、审核、办理、答复、归档等工作制度，</w:t>
      </w:r>
      <w:r>
        <w:rPr>
          <w:rFonts w:hint="eastAsia" w:eastAsia="仿宋_GB2312" w:cs="Times New Roman"/>
          <w:kern w:val="0"/>
          <w:sz w:val="32"/>
          <w:szCs w:val="32"/>
          <w:lang w:val="en-US" w:eastAsia="zh-CN"/>
        </w:rPr>
        <w:t>健全依申请公开联办会商机制。</w:t>
      </w:r>
      <w:r>
        <w:rPr>
          <w:rFonts w:hint="eastAsia" w:ascii="Times New Roman" w:hAnsi="Times New Roman" w:eastAsia="仿宋_GB2312" w:cs="Times New Roman"/>
          <w:kern w:val="0"/>
          <w:sz w:val="32"/>
          <w:szCs w:val="32"/>
          <w:lang w:val="en-US" w:eastAsia="zh-CN"/>
        </w:rPr>
        <w:t>202</w:t>
      </w:r>
      <w:r>
        <w:rPr>
          <w:rFonts w:hint="eastAsia" w:eastAsia="仿宋_GB2312" w:cs="Times New Roman"/>
          <w:kern w:val="0"/>
          <w:sz w:val="32"/>
          <w:szCs w:val="32"/>
          <w:lang w:val="en-US" w:eastAsia="zh-CN"/>
        </w:rPr>
        <w:t>1</w:t>
      </w:r>
      <w:r>
        <w:rPr>
          <w:rFonts w:hint="eastAsia" w:ascii="Times New Roman" w:hAnsi="Times New Roman" w:eastAsia="仿宋_GB2312" w:cs="Times New Roman"/>
          <w:kern w:val="0"/>
          <w:sz w:val="32"/>
          <w:szCs w:val="32"/>
          <w:lang w:val="en-US" w:eastAsia="zh-CN"/>
        </w:rPr>
        <w:t>年，</w:t>
      </w:r>
      <w:r>
        <w:rPr>
          <w:rFonts w:hint="eastAsia" w:eastAsia="仿宋_GB2312" w:cs="Times New Roman"/>
          <w:kern w:val="0"/>
          <w:sz w:val="32"/>
          <w:szCs w:val="32"/>
          <w:lang w:val="en-US" w:eastAsia="zh-CN"/>
        </w:rPr>
        <w:t>全县</w:t>
      </w:r>
      <w:r>
        <w:rPr>
          <w:rFonts w:hint="eastAsia" w:ascii="Times New Roman" w:hAnsi="Times New Roman" w:eastAsia="仿宋_GB2312" w:cs="仿宋_GB2312"/>
          <w:kern w:val="0"/>
          <w:sz w:val="32"/>
          <w:szCs w:val="32"/>
        </w:rPr>
        <w:t>收到政府信息公开申请</w:t>
      </w:r>
      <w:r>
        <w:rPr>
          <w:rFonts w:hint="eastAsia" w:ascii="Times New Roman" w:hAnsi="Times New Roman" w:eastAsia="仿宋_GB2312" w:cs="Times New Roman"/>
          <w:kern w:val="0"/>
          <w:sz w:val="32"/>
          <w:szCs w:val="32"/>
          <w:lang w:val="en-US" w:eastAsia="zh-CN"/>
        </w:rPr>
        <w:t>112</w:t>
      </w:r>
      <w:r>
        <w:rPr>
          <w:rFonts w:hint="eastAsia" w:ascii="Times New Roman" w:hAnsi="Times New Roman" w:eastAsia="仿宋_GB2312" w:cs="仿宋_GB2312"/>
          <w:kern w:val="0"/>
          <w:sz w:val="32"/>
          <w:szCs w:val="32"/>
        </w:rPr>
        <w:t>件，</w:t>
      </w:r>
      <w:r>
        <w:rPr>
          <w:rFonts w:hint="eastAsia" w:ascii="Times New Roman" w:hAnsi="Times New Roman" w:eastAsia="仿宋_GB2312" w:cs="仿宋_GB2312"/>
          <w:kern w:val="0"/>
          <w:sz w:val="32"/>
          <w:szCs w:val="32"/>
          <w:lang w:val="en-US" w:eastAsia="zh-CN"/>
        </w:rPr>
        <w:t>较去年增长近2.5倍，内容涉及棚户区改造、土地征收、房屋征收等方面。其中，予以公开55件，无法提供40件，部分公开16件，不予公开1件。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全</w:t>
      </w:r>
      <w:r>
        <w:rPr>
          <w:rFonts w:hint="eastAsia" w:ascii="Times New Roman" w:hAnsi="Times New Roman" w:cs="仿宋_GB2312"/>
          <w:sz w:val="32"/>
          <w:szCs w:val="32"/>
          <w:lang w:val="en-US" w:eastAsia="zh-CN"/>
        </w:rPr>
        <w:t>县</w:t>
      </w:r>
      <w:r>
        <w:rPr>
          <w:rFonts w:hint="eastAsia" w:ascii="Times New Roman" w:hAnsi="Times New Roman" w:eastAsia="仿宋_GB2312" w:cs="仿宋_GB2312"/>
          <w:sz w:val="32"/>
          <w:szCs w:val="32"/>
        </w:rPr>
        <w:t>依申请公开政府信息未收取任何费用。</w:t>
      </w:r>
    </w:p>
    <w:p>
      <w:pPr>
        <w:pStyle w:val="2"/>
        <w:ind w:left="0" w:leftChars="0" w:firstLine="0" w:firstLineChars="0"/>
        <w:jc w:val="center"/>
        <w:rPr>
          <w:rFonts w:hint="default" w:ascii="Times New Roman" w:hAnsi="Times New Roman" w:eastAsia="仿宋_GB2312" w:cs="仿宋_GB2312"/>
          <w:sz w:val="32"/>
          <w:szCs w:val="32"/>
          <w:lang w:val="en-US"/>
        </w:rPr>
      </w:pPr>
      <w:r>
        <w:drawing>
          <wp:inline distT="0" distB="0" distL="114300" distR="114300">
            <wp:extent cx="5261610" cy="3762375"/>
            <wp:effectExtent l="4445" t="4445" r="17145" b="43180"/>
            <wp:docPr id="5" name="图表 3" descr="7b0a202020202263686172745265734964223a202232303437323139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仿宋_GB2312"/>
          <w:sz w:val="32"/>
          <w:szCs w:val="32"/>
          <w:lang w:val="en-US" w:eastAsia="zh-CN"/>
        </w:rPr>
      </w:pPr>
      <w:r>
        <w:rPr>
          <w:rFonts w:hint="eastAsia" w:ascii="楷体_GB2312" w:hAnsi="楷体_GB2312" w:eastAsia="楷体_GB2312" w:cs="楷体_GB2312"/>
          <w:b w:val="0"/>
          <w:kern w:val="0"/>
          <w:sz w:val="32"/>
          <w:szCs w:val="32"/>
          <w:lang w:val="en-US" w:eastAsia="zh-CN" w:bidi="ar"/>
        </w:rPr>
        <w:t>（三）政府信息管理</w:t>
      </w:r>
    </w:p>
    <w:p>
      <w:pPr>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rPr>
          <w:rFonts w:hint="default" w:eastAsia="仿宋_GB2312"/>
          <w:sz w:val="32"/>
          <w:szCs w:val="32"/>
          <w:lang w:val="en-US" w:eastAsia="zh-CN"/>
        </w:rPr>
      </w:pPr>
      <w:r>
        <w:rPr>
          <w:rFonts w:hint="eastAsia" w:eastAsia="仿宋_GB2312"/>
          <w:sz w:val="32"/>
          <w:szCs w:val="32"/>
          <w:lang w:val="en-US" w:eastAsia="zh-CN"/>
        </w:rPr>
        <w:t>进一步理顺政府信息管理机制，建立健全政府信息发布机制、审查机制和动态调整机制</w:t>
      </w:r>
      <w:r>
        <w:rPr>
          <w:rFonts w:hint="eastAsia" w:ascii="仿宋_GB2312" w:eastAsia="仿宋_GB2312"/>
          <w:sz w:val="32"/>
          <w:szCs w:val="32"/>
          <w:lang w:val="en-US" w:eastAsia="zh-CN"/>
        </w:rPr>
        <w:t>。</w:t>
      </w:r>
      <w:r>
        <w:rPr>
          <w:rFonts w:hint="eastAsia" w:eastAsia="仿宋_GB2312"/>
          <w:sz w:val="32"/>
          <w:szCs w:val="32"/>
          <w:lang w:val="en-US" w:eastAsia="zh-CN"/>
        </w:rPr>
        <w:t>设立政策文件集中发布平台，</w:t>
      </w:r>
      <w:r>
        <w:rPr>
          <w:rFonts w:hint="eastAsia" w:ascii="仿宋_GB2312" w:eastAsia="仿宋_GB2312"/>
          <w:sz w:val="32"/>
          <w:szCs w:val="32"/>
          <w:lang w:val="en-US" w:eastAsia="zh-CN"/>
        </w:rPr>
        <w:t>全面梳理规范性文件并集中展示，</w:t>
      </w:r>
      <w:r>
        <w:rPr>
          <w:rFonts w:hint="eastAsia" w:ascii="Times New Roman" w:hAnsi="Times New Roman" w:eastAsia="仿宋_GB2312" w:cs="Times New Roman"/>
          <w:kern w:val="0"/>
          <w:sz w:val="32"/>
          <w:szCs w:val="32"/>
          <w:lang w:val="en-US" w:eastAsia="zh-CN"/>
        </w:rPr>
        <w:t>2021年，继续有效的规范性文件20件，废止6件。完善信息检索功能，</w:t>
      </w:r>
      <w:r>
        <w:rPr>
          <w:rFonts w:hint="eastAsia" w:eastAsia="仿宋_GB2312" w:cs="Times New Roman"/>
          <w:kern w:val="0"/>
          <w:sz w:val="32"/>
          <w:szCs w:val="32"/>
          <w:lang w:val="en-US" w:eastAsia="zh-CN"/>
        </w:rPr>
        <w:t>增设</w:t>
      </w:r>
      <w:r>
        <w:rPr>
          <w:rFonts w:hint="eastAsia" w:ascii="仿宋_GB2312" w:hAnsi="仿宋_GB2312" w:eastAsia="仿宋_GB2312" w:cs="仿宋_GB2312"/>
          <w:sz w:val="32"/>
          <w:szCs w:val="32"/>
          <w:lang w:val="en-US" w:eastAsia="zh-CN"/>
        </w:rPr>
        <w:t>“智能问答机器人”</w:t>
      </w:r>
      <w:r>
        <w:rPr>
          <w:rFonts w:hint="eastAsia" w:ascii="Times New Roman" w:hAnsi="Times New Roman" w:eastAsia="仿宋_GB2312" w:cs="Times New Roman"/>
          <w:kern w:val="0"/>
          <w:sz w:val="32"/>
          <w:szCs w:val="32"/>
          <w:lang w:val="en-US" w:eastAsia="zh-CN"/>
        </w:rPr>
        <w:t>模块，</w:t>
      </w:r>
      <w:r>
        <w:rPr>
          <w:rFonts w:hint="eastAsia" w:ascii="Times New Roman" w:hAnsi="Times New Roman" w:eastAsia="仿宋_GB2312" w:cs="仿宋_GB2312"/>
          <w:sz w:val="32"/>
          <w:szCs w:val="32"/>
          <w:shd w:val="clear" w:color="auto" w:fill="FFFFFF"/>
        </w:rPr>
        <w:t>实现搜索即服务和无障碍浏览</w:t>
      </w:r>
      <w:r>
        <w:rPr>
          <w:rFonts w:hint="eastAsia" w:ascii="Times New Roman" w:hAnsi="Times New Roman" w:eastAsia="仿宋_GB2312" w:cs="Times New Roman"/>
          <w:kern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楷体_GB2312" w:hAnsi="楷体_GB2312" w:eastAsia="楷体_GB2312" w:cs="楷体_GB2312"/>
          <w:b w:val="0"/>
          <w:kern w:val="0"/>
          <w:sz w:val="32"/>
          <w:szCs w:val="32"/>
          <w:lang w:val="en-US" w:eastAsia="zh-CN" w:bidi="ar"/>
        </w:rPr>
        <w:t>（四）政府信息公开平台建设</w:t>
      </w:r>
    </w:p>
    <w:p>
      <w:pPr>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坚持把县政府网站作为政府信息公开的第一平台，聚焦法定主动公开内容，规范内容的发布和管理</w:t>
      </w:r>
      <w:r>
        <w:rPr>
          <w:rFonts w:hint="eastAsia"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新增规划计划、财政资金直达基层、行政事业性收费等</w:t>
      </w:r>
      <w:r>
        <w:rPr>
          <w:rFonts w:hint="eastAsia" w:eastAsia="仿宋_GB2312" w:cs="Times New Roman"/>
          <w:kern w:val="0"/>
          <w:sz w:val="32"/>
          <w:szCs w:val="32"/>
          <w:lang w:val="en-US" w:eastAsia="zh-CN"/>
        </w:rPr>
        <w:t>专栏</w:t>
      </w:r>
      <w:r>
        <w:rPr>
          <w:rFonts w:hint="eastAsia" w:ascii="Times New Roman" w:hAnsi="Times New Roman" w:eastAsia="仿宋_GB2312" w:cs="Times New Roman"/>
          <w:kern w:val="0"/>
          <w:sz w:val="32"/>
          <w:szCs w:val="32"/>
          <w:lang w:val="en-US" w:eastAsia="zh-CN"/>
        </w:rPr>
        <w:t>10余个。在县政务服务中心、</w:t>
      </w:r>
      <w:r>
        <w:rPr>
          <w:rFonts w:hint="eastAsia" w:eastAsia="仿宋_GB2312" w:cs="Times New Roman"/>
          <w:kern w:val="0"/>
          <w:sz w:val="32"/>
          <w:szCs w:val="32"/>
          <w:lang w:val="en-US" w:eastAsia="zh-CN"/>
        </w:rPr>
        <w:t>县</w:t>
      </w:r>
      <w:r>
        <w:rPr>
          <w:rFonts w:hint="eastAsia" w:ascii="Times New Roman" w:hAnsi="Times New Roman" w:eastAsia="仿宋_GB2312" w:cs="Times New Roman"/>
          <w:kern w:val="0"/>
          <w:sz w:val="32"/>
          <w:szCs w:val="32"/>
          <w:lang w:val="en-US" w:eastAsia="zh-CN"/>
        </w:rPr>
        <w:t>档案馆等场所设置政府信息查阅点</w:t>
      </w:r>
      <w:r>
        <w:rPr>
          <w:rFonts w:hint="eastAsia" w:eastAsia="仿宋_GB2312" w:cs="Times New Roman"/>
          <w:kern w:val="0"/>
          <w:sz w:val="32"/>
          <w:szCs w:val="32"/>
          <w:lang w:val="en-US" w:eastAsia="zh-CN"/>
        </w:rPr>
        <w:t>和政务公开体验区。</w:t>
      </w:r>
      <w:r>
        <w:rPr>
          <w:rFonts w:hint="eastAsia" w:ascii="Times New Roman" w:hAnsi="Times New Roman" w:eastAsia="仿宋_GB2312" w:cs="Times New Roman"/>
          <w:kern w:val="0"/>
          <w:sz w:val="32"/>
          <w:szCs w:val="32"/>
          <w:lang w:val="en-US" w:eastAsia="zh-CN"/>
        </w:rPr>
        <w:t>加强政府网站和政务新媒体日常监测，全县41个政务新媒体全部纳入管理。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default" w:ascii="楷体_GB2312" w:hAnsi="楷体_GB2312" w:eastAsia="楷体_GB2312" w:cs="楷体_GB2312"/>
          <w:b w:val="0"/>
          <w:kern w:val="0"/>
          <w:sz w:val="32"/>
          <w:szCs w:val="32"/>
          <w:lang w:val="en-US" w:eastAsia="zh-CN" w:bidi="ar"/>
        </w:rPr>
      </w:pPr>
      <w:r>
        <w:rPr>
          <w:rFonts w:hint="eastAsia"/>
          <w:lang w:val="en-US" w:eastAsia="zh-CN"/>
        </w:rPr>
        <w:t xml:space="preserve"> </w:t>
      </w:r>
      <w:r>
        <w:rPr>
          <w:rFonts w:hint="default" w:ascii="楷体_GB2312" w:hAnsi="楷体_GB2312" w:eastAsia="楷体_GB2312" w:cs="楷体_GB2312"/>
          <w:b w:val="0"/>
          <w:kern w:val="0"/>
          <w:sz w:val="32"/>
          <w:szCs w:val="32"/>
          <w:lang w:val="en-US" w:eastAsia="zh-CN" w:bidi="ar"/>
        </w:rPr>
        <w:t>（五）监督保障</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仿宋_GB2312" w:hAnsi="黑体" w:eastAsia="仿宋_GB2312"/>
          <w:sz w:val="32"/>
          <w:szCs w:val="32"/>
          <w:lang w:val="en-US" w:eastAsia="zh-CN"/>
        </w:rPr>
        <w:t>继续</w:t>
      </w:r>
      <w:r>
        <w:rPr>
          <w:rFonts w:hint="eastAsia" w:ascii="Times New Roman" w:hAnsi="Times New Roman" w:eastAsia="仿宋_GB2312" w:cs="Times New Roman"/>
          <w:kern w:val="0"/>
          <w:sz w:val="32"/>
          <w:szCs w:val="32"/>
          <w:lang w:val="en-US" w:eastAsia="zh-CN"/>
        </w:rPr>
        <w:t>将政务公开</w:t>
      </w:r>
      <w:r>
        <w:rPr>
          <w:rFonts w:hint="eastAsia" w:eastAsia="仿宋_GB2312" w:cs="Times New Roman"/>
          <w:kern w:val="0"/>
          <w:sz w:val="32"/>
          <w:szCs w:val="32"/>
          <w:lang w:val="en-US" w:eastAsia="zh-CN"/>
        </w:rPr>
        <w:t>工作</w:t>
      </w:r>
      <w:r>
        <w:rPr>
          <w:rFonts w:hint="eastAsia" w:ascii="Times New Roman" w:hAnsi="Times New Roman" w:eastAsia="仿宋_GB2312" w:cs="Times New Roman"/>
          <w:kern w:val="0"/>
          <w:sz w:val="32"/>
          <w:szCs w:val="32"/>
          <w:lang w:val="en-US" w:eastAsia="zh-CN"/>
        </w:rPr>
        <w:t>纳入</w:t>
      </w:r>
      <w:r>
        <w:rPr>
          <w:rFonts w:hint="eastAsia" w:eastAsia="仿宋_GB2312" w:cs="Times New Roman"/>
          <w:kern w:val="0"/>
          <w:sz w:val="32"/>
          <w:szCs w:val="32"/>
          <w:lang w:val="en-US" w:eastAsia="zh-CN"/>
        </w:rPr>
        <w:t>全县</w:t>
      </w:r>
      <w:r>
        <w:rPr>
          <w:rFonts w:hint="eastAsia" w:ascii="Times New Roman" w:hAnsi="Times New Roman" w:eastAsia="仿宋_GB2312" w:cs="Times New Roman"/>
          <w:kern w:val="0"/>
          <w:sz w:val="32"/>
          <w:szCs w:val="32"/>
          <w:lang w:val="en-US" w:eastAsia="zh-CN"/>
        </w:rPr>
        <w:t>经济社会发展综合考核</w:t>
      </w:r>
      <w:r>
        <w:rPr>
          <w:rFonts w:hint="eastAsia" w:eastAsia="仿宋_GB2312" w:cs="Times New Roman"/>
          <w:kern w:val="0"/>
          <w:sz w:val="32"/>
          <w:szCs w:val="32"/>
          <w:lang w:val="en-US" w:eastAsia="zh-CN"/>
        </w:rPr>
        <w:t>。</w:t>
      </w:r>
      <w:r>
        <w:rPr>
          <w:rFonts w:hint="eastAsia" w:ascii="仿宋_GB2312" w:hAnsi="仿宋_GB2312" w:eastAsia="仿宋_GB2312" w:cs="仿宋_GB2312"/>
          <w:kern w:val="2"/>
          <w:sz w:val="32"/>
          <w:szCs w:val="32"/>
          <w:lang w:val="en-US" w:eastAsia="zh-CN" w:bidi="ar-SA"/>
        </w:rPr>
        <w:t>实行“每周一提醒、每月一检查、每季一通报”制度，及时发现问题整改。</w:t>
      </w:r>
      <w:r>
        <w:rPr>
          <w:rFonts w:hint="eastAsia" w:ascii="仿宋_GB2312" w:hAnsi="黑体" w:eastAsia="仿宋_GB2312" w:cs="黑体"/>
          <w:kern w:val="2"/>
          <w:sz w:val="32"/>
          <w:szCs w:val="32"/>
          <w:shd w:val="clear" w:color="auto" w:fill="FFFFFF"/>
          <w:lang w:val="en-US" w:eastAsia="zh-CN" w:bidi="ar-SA"/>
        </w:rPr>
        <w:t>调整沂南县政务公开</w:t>
      </w:r>
      <w:r>
        <w:rPr>
          <w:rFonts w:hint="default" w:ascii="仿宋_GB2312" w:hAnsi="黑体" w:eastAsia="仿宋_GB2312" w:cs="黑体"/>
          <w:kern w:val="2"/>
          <w:sz w:val="32"/>
          <w:szCs w:val="32"/>
          <w:shd w:val="clear" w:color="auto" w:fill="FFFFFF"/>
          <w:lang w:val="en-US" w:eastAsia="zh-CN" w:bidi="ar-SA"/>
        </w:rPr>
        <w:t>领导小组，</w:t>
      </w:r>
      <w:r>
        <w:rPr>
          <w:rFonts w:hint="eastAsia" w:ascii="仿宋_GB2312" w:hAnsi="黑体" w:eastAsia="仿宋_GB2312" w:cs="黑体"/>
          <w:kern w:val="2"/>
          <w:sz w:val="32"/>
          <w:szCs w:val="32"/>
          <w:shd w:val="clear" w:color="auto" w:fill="FFFFFF"/>
          <w:lang w:val="en-US" w:eastAsia="zh-CN" w:bidi="ar-SA"/>
        </w:rPr>
        <w:t>理顺协调管理机制。各乡镇（街道、开发区）和部门也调整了政务公开领导小组，明确责任科室和人员。继续</w:t>
      </w:r>
      <w:r>
        <w:rPr>
          <w:rFonts w:hint="default" w:ascii="仿宋_GB2312" w:hAnsi="仿宋_GB2312" w:eastAsia="仿宋_GB2312" w:cs="仿宋_GB2312"/>
          <w:kern w:val="2"/>
          <w:sz w:val="32"/>
          <w:szCs w:val="32"/>
          <w:lang w:val="en-US" w:eastAsia="zh-CN" w:bidi="ar-SA"/>
        </w:rPr>
        <w:t>加大政务公开培训力度，</w:t>
      </w:r>
      <w:r>
        <w:rPr>
          <w:rFonts w:hint="eastAsia" w:ascii="仿宋_GB2312" w:hAnsi="仿宋_GB2312" w:eastAsia="仿宋_GB2312" w:cs="仿宋_GB2312"/>
          <w:kern w:val="2"/>
          <w:sz w:val="32"/>
          <w:szCs w:val="32"/>
          <w:lang w:val="en-US" w:eastAsia="zh-CN" w:bidi="ar-SA"/>
        </w:rPr>
        <w:t>全年</w:t>
      </w:r>
      <w:r>
        <w:rPr>
          <w:rFonts w:hint="default" w:ascii="仿宋_GB2312" w:hAnsi="仿宋_GB2312" w:eastAsia="仿宋_GB2312" w:cs="仿宋_GB2312"/>
          <w:kern w:val="2"/>
          <w:sz w:val="32"/>
          <w:szCs w:val="32"/>
          <w:lang w:val="en-US" w:eastAsia="zh-CN" w:bidi="ar-SA"/>
        </w:rPr>
        <w:t>开展政务公开业务培训3次。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二、主动公开政府信息情况</w:t>
      </w:r>
    </w:p>
    <w:tbl>
      <w:tblPr>
        <w:tblStyle w:val="11"/>
        <w:tblW w:w="0" w:type="auto"/>
        <w:jc w:val="center"/>
        <w:tblLayout w:type="fixed"/>
        <w:tblCellMar>
          <w:top w:w="0" w:type="dxa"/>
          <w:left w:w="0" w:type="dxa"/>
          <w:bottom w:w="0" w:type="dxa"/>
          <w:right w:w="0" w:type="dxa"/>
        </w:tblCellMar>
      </w:tblPr>
      <w:tblGrid>
        <w:gridCol w:w="3527"/>
        <w:gridCol w:w="2043"/>
        <w:gridCol w:w="1867"/>
        <w:gridCol w:w="1996"/>
      </w:tblGrid>
      <w:tr>
        <w:tblPrEx>
          <w:tblCellMar>
            <w:top w:w="0" w:type="dxa"/>
            <w:left w:w="0" w:type="dxa"/>
            <w:bottom w:w="0" w:type="dxa"/>
            <w:right w:w="0" w:type="dxa"/>
          </w:tblCellMar>
        </w:tblPrEx>
        <w:trPr>
          <w:trHeight w:val="518" w:hRule="atLeast"/>
          <w:jc w:val="center"/>
        </w:trPr>
        <w:tc>
          <w:tcPr>
            <w:tcW w:w="9433" w:type="dxa"/>
            <w:gridSpan w:val="4"/>
            <w:tcBorders>
              <w:top w:val="single" w:color="auto" w:sz="8" w:space="0"/>
              <w:left w:val="single" w:color="auto" w:sz="8" w:space="0"/>
              <w:bottom w:val="single" w:color="auto" w:sz="8" w:space="0"/>
              <w:right w:val="single" w:color="auto" w:sz="8" w:space="0"/>
            </w:tcBorders>
            <w:shd w:val="clear" w:color="auto" w:fill="C3DCF4"/>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b/>
                <w:bCs/>
                <w:color w:val="000000"/>
                <w:kern w:val="0"/>
                <w:sz w:val="18"/>
                <w:szCs w:val="18"/>
                <w:lang w:val="en-US" w:eastAsia="zh-CN"/>
              </w:rPr>
              <w:t>第二十条  第（一）项</w:t>
            </w:r>
          </w:p>
        </w:tc>
      </w:tr>
      <w:tr>
        <w:tblPrEx>
          <w:tblCellMar>
            <w:top w:w="0" w:type="dxa"/>
            <w:left w:w="0" w:type="dxa"/>
            <w:bottom w:w="0" w:type="dxa"/>
            <w:right w:w="0" w:type="dxa"/>
          </w:tblCellMar>
        </w:tblPrEx>
        <w:trPr>
          <w:trHeight w:val="746" w:hRule="atLeast"/>
          <w:jc w:val="center"/>
        </w:trPr>
        <w:tc>
          <w:tcPr>
            <w:tcW w:w="3527"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color w:val="000000"/>
                <w:kern w:val="0"/>
                <w:sz w:val="18"/>
                <w:szCs w:val="18"/>
                <w:lang w:val="en-US" w:eastAsia="zh-CN"/>
              </w:rPr>
              <w:t>信息内容</w:t>
            </w:r>
          </w:p>
        </w:tc>
        <w:tc>
          <w:tcPr>
            <w:tcW w:w="2043"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color w:val="000000"/>
                <w:kern w:val="0"/>
                <w:sz w:val="18"/>
                <w:szCs w:val="18"/>
                <w:lang w:val="en-US" w:eastAsia="zh-CN"/>
              </w:rPr>
              <w:t>本年</w:t>
            </w:r>
            <w:r>
              <w:rPr>
                <w:rFonts w:ascii="Calibri" w:hAnsi="Calibri" w:eastAsia="宋体" w:cs="宋体"/>
                <w:color w:val="000000"/>
                <w:kern w:val="0"/>
                <w:sz w:val="18"/>
                <w:szCs w:val="18"/>
                <w:lang w:val="en-US" w:eastAsia="zh-CN"/>
              </w:rPr>
              <w:t>制</w:t>
            </w:r>
            <w:r>
              <w:rPr>
                <w:rFonts w:hint="eastAsia" w:ascii="Calibri" w:hAnsi="Calibri" w:eastAsia="宋体" w:cs="宋体"/>
                <w:color w:val="000000"/>
                <w:kern w:val="0"/>
                <w:sz w:val="18"/>
                <w:szCs w:val="18"/>
                <w:lang w:val="en-US" w:eastAsia="zh-CN"/>
              </w:rPr>
              <w:t>发件数</w:t>
            </w:r>
          </w:p>
        </w:tc>
        <w:tc>
          <w:tcPr>
            <w:tcW w:w="1867"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color w:val="000000"/>
                <w:kern w:val="0"/>
                <w:sz w:val="18"/>
                <w:szCs w:val="18"/>
                <w:lang w:val="en-US" w:eastAsia="zh-CN"/>
              </w:rPr>
              <w:t>本年废止件数</w:t>
            </w:r>
          </w:p>
        </w:tc>
        <w:tc>
          <w:tcPr>
            <w:tcW w:w="199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color w:val="000000"/>
                <w:kern w:val="0"/>
                <w:sz w:val="18"/>
                <w:szCs w:val="18"/>
                <w:lang w:val="en-US" w:eastAsia="zh-CN"/>
              </w:rPr>
              <w:t>现行有效件数</w:t>
            </w:r>
          </w:p>
        </w:tc>
      </w:tr>
      <w:tr>
        <w:tblPrEx>
          <w:tblCellMar>
            <w:top w:w="0" w:type="dxa"/>
            <w:left w:w="0" w:type="dxa"/>
            <w:bottom w:w="0" w:type="dxa"/>
            <w:right w:w="0" w:type="dxa"/>
          </w:tblCellMar>
        </w:tblPrEx>
        <w:trPr>
          <w:trHeight w:val="546" w:hRule="atLeast"/>
          <w:jc w:val="center"/>
        </w:trPr>
        <w:tc>
          <w:tcPr>
            <w:tcW w:w="3527"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left"/>
              <w:textAlignment w:val="auto"/>
              <w:outlineLvl w:val="9"/>
              <w:rPr>
                <w:color w:val="000000"/>
                <w:sz w:val="18"/>
                <w:szCs w:val="18"/>
              </w:rPr>
            </w:pPr>
            <w:r>
              <w:rPr>
                <w:rFonts w:hint="eastAsia" w:ascii="宋体" w:hAnsi="宋体" w:eastAsia="宋体" w:cs="宋体"/>
                <w:color w:val="000000"/>
                <w:kern w:val="0"/>
                <w:sz w:val="18"/>
                <w:szCs w:val="18"/>
                <w:lang w:val="en-US" w:eastAsia="zh-CN"/>
              </w:rPr>
              <w:t>规章</w:t>
            </w:r>
          </w:p>
        </w:tc>
        <w:tc>
          <w:tcPr>
            <w:tcW w:w="204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rFonts w:hint="eastAsia" w:eastAsia="宋体"/>
                <w:color w:val="000000"/>
                <w:sz w:val="18"/>
                <w:szCs w:val="18"/>
                <w:lang w:val="en-US" w:eastAsia="zh-CN"/>
              </w:rPr>
            </w:pPr>
            <w:r>
              <w:rPr>
                <w:rFonts w:hint="eastAsia"/>
                <w:color w:val="000000"/>
                <w:sz w:val="18"/>
                <w:szCs w:val="18"/>
                <w:lang w:val="en-US" w:eastAsia="zh-CN"/>
              </w:rPr>
              <w:t>0</w:t>
            </w:r>
          </w:p>
        </w:tc>
        <w:tc>
          <w:tcPr>
            <w:tcW w:w="1867"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rFonts w:hint="eastAsia" w:eastAsia="宋体"/>
                <w:color w:val="000000"/>
                <w:sz w:val="18"/>
                <w:szCs w:val="18"/>
                <w:lang w:val="en-US" w:eastAsia="zh-CN"/>
              </w:rPr>
            </w:pPr>
            <w:r>
              <w:rPr>
                <w:rFonts w:hint="eastAsia"/>
                <w:color w:val="000000"/>
                <w:sz w:val="18"/>
                <w:szCs w:val="18"/>
                <w:lang w:val="en-US" w:eastAsia="zh-CN"/>
              </w:rPr>
              <w:t>0</w:t>
            </w:r>
          </w:p>
        </w:tc>
        <w:tc>
          <w:tcPr>
            <w:tcW w:w="199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rFonts w:hint="eastAsia" w:eastAsia="宋体"/>
                <w:color w:val="000000"/>
                <w:sz w:val="18"/>
                <w:szCs w:val="18"/>
                <w:lang w:val="en-US" w:eastAsia="zh-CN"/>
              </w:rPr>
            </w:pPr>
            <w:r>
              <w:rPr>
                <w:rFonts w:hint="eastAsia"/>
                <w:color w:val="000000"/>
                <w:sz w:val="18"/>
                <w:szCs w:val="18"/>
                <w:lang w:val="en-US" w:eastAsia="zh-CN"/>
              </w:rPr>
              <w:t>0</w:t>
            </w:r>
          </w:p>
        </w:tc>
      </w:tr>
      <w:tr>
        <w:tblPrEx>
          <w:tblCellMar>
            <w:top w:w="0" w:type="dxa"/>
            <w:left w:w="0" w:type="dxa"/>
            <w:bottom w:w="0" w:type="dxa"/>
            <w:right w:w="0" w:type="dxa"/>
          </w:tblCellMar>
        </w:tblPrEx>
        <w:trPr>
          <w:trHeight w:val="515" w:hRule="atLeast"/>
          <w:jc w:val="center"/>
        </w:trPr>
        <w:tc>
          <w:tcPr>
            <w:tcW w:w="3527"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left"/>
              <w:textAlignment w:val="auto"/>
              <w:outlineLvl w:val="9"/>
              <w:rPr>
                <w:color w:val="000000"/>
                <w:sz w:val="18"/>
                <w:szCs w:val="18"/>
              </w:rPr>
            </w:pPr>
            <w:r>
              <w:rPr>
                <w:rFonts w:hint="eastAsia" w:ascii="宋体" w:hAnsi="宋体" w:eastAsia="宋体" w:cs="宋体"/>
                <w:color w:val="000000"/>
                <w:kern w:val="0"/>
                <w:sz w:val="18"/>
                <w:szCs w:val="18"/>
                <w:lang w:val="en-US" w:eastAsia="zh-CN"/>
              </w:rPr>
              <w:t>行政规范性文件</w:t>
            </w:r>
          </w:p>
        </w:tc>
        <w:tc>
          <w:tcPr>
            <w:tcW w:w="2043"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rFonts w:hint="eastAsia" w:eastAsia="宋体"/>
                <w:color w:val="000000"/>
                <w:sz w:val="18"/>
                <w:szCs w:val="18"/>
                <w:lang w:val="en-US" w:eastAsia="zh-CN"/>
              </w:rPr>
            </w:pPr>
            <w:r>
              <w:rPr>
                <w:rFonts w:hint="eastAsia"/>
                <w:color w:val="000000"/>
                <w:sz w:val="18"/>
                <w:szCs w:val="18"/>
                <w:lang w:val="en-US" w:eastAsia="zh-CN"/>
              </w:rPr>
              <w:t>9</w:t>
            </w:r>
          </w:p>
        </w:tc>
        <w:tc>
          <w:tcPr>
            <w:tcW w:w="1867"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rFonts w:hint="eastAsia" w:eastAsia="宋体"/>
                <w:color w:val="000000"/>
                <w:sz w:val="18"/>
                <w:szCs w:val="18"/>
                <w:lang w:val="en-US" w:eastAsia="zh-CN"/>
              </w:rPr>
            </w:pPr>
            <w:r>
              <w:rPr>
                <w:rFonts w:hint="eastAsia"/>
                <w:color w:val="000000"/>
                <w:sz w:val="18"/>
                <w:szCs w:val="18"/>
                <w:lang w:val="en-US" w:eastAsia="zh-CN"/>
              </w:rPr>
              <w:t>6</w:t>
            </w:r>
          </w:p>
        </w:tc>
        <w:tc>
          <w:tcPr>
            <w:tcW w:w="199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rFonts w:hint="default" w:eastAsia="宋体"/>
                <w:color w:val="000000"/>
                <w:sz w:val="18"/>
                <w:szCs w:val="18"/>
                <w:lang w:val="en-US" w:eastAsia="zh-CN"/>
              </w:rPr>
            </w:pPr>
            <w:r>
              <w:rPr>
                <w:rFonts w:hint="eastAsia"/>
                <w:color w:val="000000"/>
                <w:sz w:val="18"/>
                <w:szCs w:val="18"/>
                <w:lang w:val="en-US" w:eastAsia="zh-CN"/>
              </w:rPr>
              <w:t>20</w:t>
            </w:r>
          </w:p>
        </w:tc>
      </w:tr>
      <w:tr>
        <w:tblPrEx>
          <w:tblCellMar>
            <w:top w:w="0" w:type="dxa"/>
            <w:left w:w="0" w:type="dxa"/>
            <w:bottom w:w="0" w:type="dxa"/>
            <w:right w:w="0" w:type="dxa"/>
          </w:tblCellMar>
        </w:tblPrEx>
        <w:trPr>
          <w:trHeight w:val="515" w:hRule="atLeast"/>
          <w:jc w:val="center"/>
        </w:trPr>
        <w:tc>
          <w:tcPr>
            <w:tcW w:w="9433" w:type="dxa"/>
            <w:gridSpan w:val="4"/>
            <w:tcBorders>
              <w:top w:val="nil"/>
              <w:left w:val="single" w:color="auto" w:sz="8" w:space="0"/>
              <w:bottom w:val="single" w:color="auto" w:sz="4" w:space="0"/>
              <w:right w:val="single" w:color="auto" w:sz="8" w:space="0"/>
            </w:tcBorders>
            <w:shd w:val="clear" w:color="auto" w:fill="C3DCF4"/>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b/>
                <w:bCs/>
                <w:color w:val="000000"/>
                <w:kern w:val="0"/>
                <w:sz w:val="18"/>
                <w:szCs w:val="18"/>
                <w:lang w:val="en-US" w:eastAsia="zh-CN"/>
              </w:rPr>
              <w:t>第二十条  第（五）项</w:t>
            </w:r>
          </w:p>
        </w:tc>
      </w:tr>
      <w:tr>
        <w:tblPrEx>
          <w:tblCellMar>
            <w:top w:w="0" w:type="dxa"/>
            <w:left w:w="0" w:type="dxa"/>
            <w:bottom w:w="0" w:type="dxa"/>
            <w:right w:w="0" w:type="dxa"/>
          </w:tblCellMar>
        </w:tblPrEx>
        <w:trPr>
          <w:trHeight w:val="657" w:hRule="atLeast"/>
          <w:jc w:val="center"/>
        </w:trPr>
        <w:tc>
          <w:tcPr>
            <w:tcW w:w="35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color w:val="000000"/>
                <w:kern w:val="0"/>
                <w:sz w:val="18"/>
                <w:szCs w:val="18"/>
                <w:lang w:val="en-US" w:eastAsia="zh-CN"/>
              </w:rPr>
              <w:t>信息内容</w:t>
            </w:r>
          </w:p>
        </w:tc>
        <w:tc>
          <w:tcPr>
            <w:tcW w:w="5906" w:type="dxa"/>
            <w:gridSpan w:val="3"/>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color w:val="000000"/>
                <w:kern w:val="0"/>
                <w:sz w:val="18"/>
                <w:szCs w:val="18"/>
                <w:lang w:val="en-US" w:eastAsia="zh-CN"/>
              </w:rPr>
              <w:t>本年处理决定数量</w:t>
            </w:r>
          </w:p>
        </w:tc>
      </w:tr>
      <w:tr>
        <w:tblPrEx>
          <w:tblCellMar>
            <w:top w:w="0" w:type="dxa"/>
            <w:left w:w="0" w:type="dxa"/>
            <w:bottom w:w="0" w:type="dxa"/>
            <w:right w:w="0" w:type="dxa"/>
          </w:tblCellMar>
        </w:tblPrEx>
        <w:trPr>
          <w:trHeight w:val="90" w:hRule="atLeast"/>
          <w:jc w:val="center"/>
        </w:trPr>
        <w:tc>
          <w:tcPr>
            <w:tcW w:w="3527" w:type="dxa"/>
            <w:tcBorders>
              <w:top w:val="single" w:color="auto" w:sz="4"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left"/>
              <w:textAlignment w:val="auto"/>
              <w:outlineLvl w:val="9"/>
              <w:rPr>
                <w:color w:val="000000"/>
                <w:sz w:val="18"/>
                <w:szCs w:val="18"/>
              </w:rPr>
            </w:pPr>
            <w:r>
              <w:rPr>
                <w:rFonts w:hint="eastAsia" w:ascii="宋体" w:hAnsi="宋体" w:eastAsia="宋体" w:cs="宋体"/>
                <w:color w:val="000000"/>
                <w:kern w:val="0"/>
                <w:sz w:val="18"/>
                <w:szCs w:val="18"/>
                <w:lang w:val="en-US" w:eastAsia="zh-CN"/>
              </w:rPr>
              <w:t>行政许可</w:t>
            </w:r>
          </w:p>
        </w:tc>
        <w:tc>
          <w:tcPr>
            <w:tcW w:w="5906" w:type="dxa"/>
            <w:gridSpan w:val="3"/>
            <w:tcBorders>
              <w:top w:val="single" w:color="auto" w:sz="4"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rFonts w:hint="default" w:eastAsia="宋体"/>
                <w:color w:val="000000"/>
                <w:sz w:val="18"/>
                <w:szCs w:val="18"/>
                <w:lang w:val="en-US" w:eastAsia="zh-CN"/>
              </w:rPr>
            </w:pPr>
            <w:r>
              <w:rPr>
                <w:rFonts w:hint="eastAsia"/>
                <w:color w:val="000000"/>
                <w:sz w:val="18"/>
                <w:szCs w:val="18"/>
                <w:lang w:val="en-US" w:eastAsia="zh-CN"/>
              </w:rPr>
              <w:t>34213</w:t>
            </w:r>
          </w:p>
        </w:tc>
      </w:tr>
      <w:tr>
        <w:tblPrEx>
          <w:tblCellMar>
            <w:top w:w="0" w:type="dxa"/>
            <w:left w:w="0" w:type="dxa"/>
            <w:bottom w:w="0" w:type="dxa"/>
            <w:right w:w="0" w:type="dxa"/>
          </w:tblCellMar>
        </w:tblPrEx>
        <w:trPr>
          <w:trHeight w:val="515" w:hRule="atLeast"/>
          <w:jc w:val="center"/>
        </w:trPr>
        <w:tc>
          <w:tcPr>
            <w:tcW w:w="9433" w:type="dxa"/>
            <w:gridSpan w:val="4"/>
            <w:tcBorders>
              <w:top w:val="nil"/>
              <w:left w:val="single" w:color="auto" w:sz="8" w:space="0"/>
              <w:bottom w:val="single" w:color="auto" w:sz="8" w:space="0"/>
              <w:right w:val="single" w:color="auto" w:sz="8" w:space="0"/>
            </w:tcBorders>
            <w:shd w:val="clear" w:color="auto" w:fill="C3DCF4"/>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b/>
                <w:bCs/>
                <w:color w:val="000000"/>
                <w:kern w:val="0"/>
                <w:sz w:val="18"/>
                <w:szCs w:val="18"/>
                <w:lang w:val="en-US" w:eastAsia="zh-CN"/>
              </w:rPr>
              <w:t>第二十条  第（六）项</w:t>
            </w:r>
          </w:p>
        </w:tc>
      </w:tr>
      <w:tr>
        <w:tblPrEx>
          <w:tblCellMar>
            <w:top w:w="0" w:type="dxa"/>
            <w:left w:w="0" w:type="dxa"/>
            <w:bottom w:w="0" w:type="dxa"/>
            <w:right w:w="0" w:type="dxa"/>
          </w:tblCellMar>
        </w:tblPrEx>
        <w:trPr>
          <w:trHeight w:val="657" w:hRule="atLeast"/>
          <w:jc w:val="center"/>
        </w:trPr>
        <w:tc>
          <w:tcPr>
            <w:tcW w:w="35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color w:val="000000"/>
                <w:kern w:val="0"/>
                <w:sz w:val="18"/>
                <w:szCs w:val="18"/>
                <w:lang w:val="en-US" w:eastAsia="zh-CN"/>
              </w:rPr>
              <w:t>信息内容</w:t>
            </w:r>
          </w:p>
        </w:tc>
        <w:tc>
          <w:tcPr>
            <w:tcW w:w="5906" w:type="dxa"/>
            <w:gridSpan w:val="3"/>
            <w:tcBorders>
              <w:top w:val="single" w:color="auto" w:sz="8" w:space="0"/>
              <w:left w:val="single" w:color="auto" w:sz="4" w:space="0"/>
              <w:bottom w:val="single" w:color="auto" w:sz="4"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color w:val="000000"/>
                <w:kern w:val="0"/>
                <w:sz w:val="18"/>
                <w:szCs w:val="18"/>
                <w:lang w:val="en-US" w:eastAsia="zh-CN"/>
              </w:rPr>
              <w:t>本年处理决定数量</w:t>
            </w:r>
          </w:p>
        </w:tc>
      </w:tr>
      <w:tr>
        <w:tblPrEx>
          <w:tblCellMar>
            <w:top w:w="0" w:type="dxa"/>
            <w:left w:w="0" w:type="dxa"/>
            <w:bottom w:w="0" w:type="dxa"/>
            <w:right w:w="0" w:type="dxa"/>
          </w:tblCellMar>
        </w:tblPrEx>
        <w:trPr>
          <w:trHeight w:val="515" w:hRule="atLeast"/>
          <w:jc w:val="center"/>
        </w:trPr>
        <w:tc>
          <w:tcPr>
            <w:tcW w:w="35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left"/>
              <w:textAlignment w:val="auto"/>
              <w:outlineLvl w:val="9"/>
              <w:rPr>
                <w:color w:val="000000"/>
                <w:sz w:val="18"/>
                <w:szCs w:val="18"/>
              </w:rPr>
            </w:pPr>
            <w:r>
              <w:rPr>
                <w:rFonts w:hint="eastAsia" w:ascii="宋体" w:hAnsi="宋体" w:eastAsia="宋体" w:cs="宋体"/>
                <w:color w:val="000000"/>
                <w:kern w:val="0"/>
                <w:sz w:val="18"/>
                <w:szCs w:val="18"/>
                <w:lang w:val="en-US" w:eastAsia="zh-CN"/>
              </w:rPr>
              <w:t>行政处罚</w:t>
            </w:r>
          </w:p>
        </w:tc>
        <w:tc>
          <w:tcPr>
            <w:tcW w:w="5906" w:type="dxa"/>
            <w:gridSpan w:val="3"/>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rFonts w:hint="default" w:eastAsia="宋体"/>
                <w:color w:val="000000"/>
                <w:sz w:val="18"/>
                <w:szCs w:val="18"/>
                <w:lang w:val="en-US" w:eastAsia="zh-CN"/>
              </w:rPr>
            </w:pPr>
            <w:r>
              <w:rPr>
                <w:rFonts w:hint="eastAsia"/>
                <w:color w:val="000000"/>
                <w:sz w:val="18"/>
                <w:szCs w:val="18"/>
                <w:lang w:val="en-US" w:eastAsia="zh-CN"/>
              </w:rPr>
              <w:t>4659</w:t>
            </w:r>
          </w:p>
        </w:tc>
      </w:tr>
      <w:tr>
        <w:tblPrEx>
          <w:tblCellMar>
            <w:top w:w="0" w:type="dxa"/>
            <w:left w:w="0" w:type="dxa"/>
            <w:bottom w:w="0" w:type="dxa"/>
            <w:right w:w="0" w:type="dxa"/>
          </w:tblCellMar>
        </w:tblPrEx>
        <w:trPr>
          <w:trHeight w:val="515" w:hRule="atLeast"/>
          <w:jc w:val="center"/>
        </w:trPr>
        <w:tc>
          <w:tcPr>
            <w:tcW w:w="3527" w:type="dxa"/>
            <w:tcBorders>
              <w:top w:val="single" w:color="auto" w:sz="4" w:space="0"/>
              <w:left w:val="single" w:color="auto" w:sz="4" w:space="0"/>
              <w:bottom w:val="single" w:color="auto" w:sz="4"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left"/>
              <w:textAlignment w:val="auto"/>
              <w:outlineLvl w:val="9"/>
              <w:rPr>
                <w:color w:val="000000"/>
                <w:sz w:val="18"/>
                <w:szCs w:val="18"/>
              </w:rPr>
            </w:pPr>
            <w:r>
              <w:rPr>
                <w:rFonts w:hint="eastAsia" w:ascii="宋体" w:hAnsi="宋体" w:eastAsia="宋体" w:cs="宋体"/>
                <w:color w:val="000000"/>
                <w:kern w:val="0"/>
                <w:sz w:val="18"/>
                <w:szCs w:val="18"/>
                <w:lang w:val="en-US" w:eastAsia="zh-CN"/>
              </w:rPr>
              <w:t>行政强制</w:t>
            </w:r>
          </w:p>
        </w:tc>
        <w:tc>
          <w:tcPr>
            <w:tcW w:w="5906" w:type="dxa"/>
            <w:gridSpan w:val="3"/>
            <w:tcBorders>
              <w:top w:val="single" w:color="auto" w:sz="4" w:space="0"/>
              <w:left w:val="nil"/>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rFonts w:hint="default" w:eastAsia="宋体"/>
                <w:color w:val="000000"/>
                <w:sz w:val="18"/>
                <w:szCs w:val="18"/>
                <w:lang w:val="en-US" w:eastAsia="zh-CN"/>
              </w:rPr>
            </w:pPr>
            <w:r>
              <w:rPr>
                <w:rFonts w:hint="eastAsia"/>
                <w:color w:val="000000"/>
                <w:sz w:val="18"/>
                <w:szCs w:val="18"/>
                <w:lang w:val="en-US" w:eastAsia="zh-CN"/>
              </w:rPr>
              <w:t>3702</w:t>
            </w:r>
          </w:p>
        </w:tc>
      </w:tr>
      <w:tr>
        <w:tblPrEx>
          <w:tblCellMar>
            <w:top w:w="0" w:type="dxa"/>
            <w:left w:w="0" w:type="dxa"/>
            <w:bottom w:w="0" w:type="dxa"/>
            <w:right w:w="0" w:type="dxa"/>
          </w:tblCellMar>
        </w:tblPrEx>
        <w:trPr>
          <w:trHeight w:val="515" w:hRule="atLeast"/>
          <w:jc w:val="center"/>
        </w:trPr>
        <w:tc>
          <w:tcPr>
            <w:tcW w:w="9433" w:type="dxa"/>
            <w:gridSpan w:val="4"/>
            <w:tcBorders>
              <w:top w:val="single" w:color="auto" w:sz="4" w:space="0"/>
              <w:left w:val="single" w:color="auto" w:sz="8" w:space="0"/>
              <w:bottom w:val="single" w:color="auto" w:sz="4" w:space="0"/>
              <w:right w:val="single" w:color="auto" w:sz="8" w:space="0"/>
            </w:tcBorders>
            <w:shd w:val="clear" w:color="auto" w:fill="C3DCF4"/>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b/>
                <w:bCs/>
                <w:color w:val="000000"/>
                <w:kern w:val="0"/>
                <w:sz w:val="18"/>
                <w:szCs w:val="18"/>
                <w:lang w:val="en-US" w:eastAsia="zh-CN"/>
              </w:rPr>
              <w:t>第二十条  第（八）项</w:t>
            </w:r>
          </w:p>
        </w:tc>
      </w:tr>
      <w:tr>
        <w:tblPrEx>
          <w:tblCellMar>
            <w:top w:w="0" w:type="dxa"/>
            <w:left w:w="0" w:type="dxa"/>
            <w:bottom w:w="0" w:type="dxa"/>
            <w:right w:w="0" w:type="dxa"/>
          </w:tblCellMar>
        </w:tblPrEx>
        <w:trPr>
          <w:trHeight w:val="515" w:hRule="atLeast"/>
          <w:jc w:val="center"/>
        </w:trPr>
        <w:tc>
          <w:tcPr>
            <w:tcW w:w="35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color w:val="000000"/>
                <w:kern w:val="0"/>
                <w:sz w:val="18"/>
                <w:szCs w:val="18"/>
                <w:lang w:val="en-US" w:eastAsia="zh-CN"/>
              </w:rPr>
              <w:t>信息内容</w:t>
            </w:r>
          </w:p>
        </w:tc>
        <w:tc>
          <w:tcPr>
            <w:tcW w:w="5906" w:type="dxa"/>
            <w:gridSpan w:val="3"/>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rFonts w:hint="eastAsia" w:eastAsia="Times New Roman"/>
                <w:color w:val="000000"/>
                <w:sz w:val="18"/>
                <w:szCs w:val="18"/>
                <w:lang w:eastAsia="zh-CN"/>
              </w:rPr>
            </w:pPr>
            <w:r>
              <w:rPr>
                <w:rFonts w:hint="eastAsia"/>
                <w:color w:val="000000"/>
                <w:sz w:val="18"/>
                <w:szCs w:val="18"/>
                <w:lang w:eastAsia="zh-CN"/>
              </w:rPr>
              <w:t>本年收费金额（单位：万元）</w:t>
            </w:r>
          </w:p>
        </w:tc>
      </w:tr>
      <w:tr>
        <w:tblPrEx>
          <w:tblCellMar>
            <w:top w:w="0" w:type="dxa"/>
            <w:left w:w="0" w:type="dxa"/>
            <w:bottom w:w="0" w:type="dxa"/>
            <w:right w:w="0" w:type="dxa"/>
          </w:tblCellMar>
        </w:tblPrEx>
        <w:trPr>
          <w:trHeight w:val="574" w:hRule="atLeast"/>
          <w:jc w:val="center"/>
        </w:trPr>
        <w:tc>
          <w:tcPr>
            <w:tcW w:w="3527" w:type="dxa"/>
            <w:tcBorders>
              <w:top w:val="single" w:color="auto" w:sz="4"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left"/>
              <w:textAlignment w:val="auto"/>
              <w:outlineLvl w:val="9"/>
              <w:rPr>
                <w:color w:val="000000"/>
                <w:sz w:val="18"/>
                <w:szCs w:val="18"/>
              </w:rPr>
            </w:pPr>
            <w:r>
              <w:rPr>
                <w:rFonts w:hint="eastAsia" w:ascii="宋体" w:hAnsi="宋体" w:eastAsia="宋体" w:cs="宋体"/>
                <w:color w:val="000000"/>
                <w:kern w:val="0"/>
                <w:sz w:val="18"/>
                <w:szCs w:val="18"/>
                <w:lang w:val="en-US" w:eastAsia="zh-CN"/>
              </w:rPr>
              <w:t>行政事业性收费</w:t>
            </w:r>
          </w:p>
        </w:tc>
        <w:tc>
          <w:tcPr>
            <w:tcW w:w="5906" w:type="dxa"/>
            <w:gridSpan w:val="3"/>
            <w:tcBorders>
              <w:top w:val="single" w:color="auto" w:sz="4" w:space="0"/>
              <w:left w:val="nil"/>
              <w:bottom w:val="single" w:color="auto" w:sz="8" w:space="0"/>
              <w:right w:val="single" w:color="000000"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rFonts w:hint="default" w:eastAsia="宋体"/>
                <w:color w:val="000000"/>
                <w:sz w:val="18"/>
                <w:szCs w:val="18"/>
                <w:lang w:val="en-US" w:eastAsia="zh-CN"/>
              </w:rPr>
            </w:pPr>
            <w:r>
              <w:rPr>
                <w:rFonts w:hint="eastAsia"/>
                <w:color w:val="000000"/>
                <w:sz w:val="18"/>
                <w:szCs w:val="18"/>
                <w:lang w:val="en-US" w:eastAsia="zh-CN"/>
              </w:rPr>
              <w:t>21096.436</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316" w:beforeLines="100" w:after="159" w:afterLines="50" w:line="560" w:lineRule="exact"/>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 xml:space="preserve">    三、收到和处理政府信息公开申请情况</w:t>
      </w:r>
    </w:p>
    <w:tbl>
      <w:tblPr>
        <w:tblStyle w:val="1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33"/>
        <w:gridCol w:w="1471"/>
        <w:gridCol w:w="2823"/>
        <w:gridCol w:w="578"/>
        <w:gridCol w:w="591"/>
        <w:gridCol w:w="638"/>
        <w:gridCol w:w="862"/>
        <w:gridCol w:w="791"/>
        <w:gridCol w:w="626"/>
        <w:gridCol w:w="60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827" w:type="dxa"/>
            <w:gridSpan w:val="3"/>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240" w:lineRule="auto"/>
              <w:ind w:left="0" w:right="0"/>
              <w:jc w:val="center"/>
              <w:textAlignment w:val="auto"/>
              <w:outlineLvl w:val="9"/>
              <w:rPr>
                <w:color w:val="000000"/>
                <w:sz w:val="18"/>
                <w:szCs w:val="18"/>
              </w:rPr>
            </w:pPr>
            <w:r>
              <w:rPr>
                <w:rFonts w:hint="eastAsia" w:ascii="楷体" w:hAnsi="楷体" w:eastAsia="楷体" w:cs="楷体"/>
                <w:color w:val="000000"/>
                <w:kern w:val="0"/>
                <w:sz w:val="18"/>
                <w:szCs w:val="18"/>
                <w:lang w:val="en-US" w:eastAsia="zh-CN"/>
              </w:rPr>
              <w:t>（本列数据的勾稽关系为：第一项加第二项之和，等于第三项加第四项之和）</w:t>
            </w:r>
          </w:p>
        </w:tc>
        <w:tc>
          <w:tcPr>
            <w:tcW w:w="4690" w:type="dxa"/>
            <w:gridSpan w:val="7"/>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b/>
                <w:bCs/>
                <w:color w:val="000000"/>
                <w:sz w:val="18"/>
                <w:szCs w:val="18"/>
              </w:rPr>
            </w:pPr>
            <w:r>
              <w:rPr>
                <w:rFonts w:hint="eastAsia"/>
                <w:b/>
                <w:bCs/>
                <w:color w:val="000000"/>
                <w:sz w:val="18"/>
                <w:szCs w:val="18"/>
                <w:lang w:val="en-US" w:eastAsia="zh-CN"/>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827" w:type="dxa"/>
            <w:gridSpan w:val="3"/>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578"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b/>
                <w:bCs/>
                <w:color w:val="000000"/>
                <w:sz w:val="18"/>
                <w:szCs w:val="18"/>
              </w:rPr>
            </w:pPr>
            <w:r>
              <w:rPr>
                <w:rFonts w:hint="eastAsia"/>
                <w:b/>
                <w:bCs/>
                <w:color w:val="000000"/>
                <w:sz w:val="18"/>
                <w:szCs w:val="18"/>
                <w:lang w:val="en-US" w:eastAsia="zh-CN"/>
              </w:rPr>
              <w:t>自然人</w:t>
            </w:r>
          </w:p>
        </w:tc>
        <w:tc>
          <w:tcPr>
            <w:tcW w:w="3508"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b/>
                <w:bCs/>
                <w:color w:val="000000"/>
                <w:sz w:val="18"/>
                <w:szCs w:val="18"/>
              </w:rPr>
            </w:pPr>
            <w:r>
              <w:rPr>
                <w:rFonts w:hint="eastAsia"/>
                <w:b/>
                <w:bCs/>
                <w:color w:val="000000"/>
                <w:sz w:val="18"/>
                <w:szCs w:val="18"/>
                <w:lang w:val="en-US" w:eastAsia="zh-CN"/>
              </w:rPr>
              <w:t>法人或其他组织</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b/>
                <w:bCs/>
                <w:color w:val="000000"/>
                <w:sz w:val="18"/>
                <w:szCs w:val="18"/>
              </w:rPr>
            </w:pPr>
            <w:r>
              <w:rPr>
                <w:rFonts w:hint="eastAsia"/>
                <w:b/>
                <w:bCs/>
                <w:color w:val="000000"/>
                <w:sz w:val="18"/>
                <w:szCs w:val="18"/>
                <w:lang w:val="en-US" w:eastAsia="zh-CN"/>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74" w:hRule="atLeast"/>
          <w:jc w:val="center"/>
        </w:trPr>
        <w:tc>
          <w:tcPr>
            <w:tcW w:w="4827" w:type="dxa"/>
            <w:gridSpan w:val="3"/>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578"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b/>
                <w:bCs/>
                <w:color w:val="000000"/>
                <w:sz w:val="18"/>
                <w:szCs w:val="18"/>
              </w:rPr>
            </w:pPr>
          </w:p>
        </w:tc>
        <w:tc>
          <w:tcPr>
            <w:tcW w:w="591"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b/>
                <w:bCs/>
                <w:color w:val="000000"/>
                <w:sz w:val="18"/>
                <w:szCs w:val="18"/>
              </w:rPr>
            </w:pPr>
            <w:r>
              <w:rPr>
                <w:rFonts w:hint="eastAsia"/>
                <w:b/>
                <w:bCs/>
                <w:color w:val="000000"/>
                <w:sz w:val="18"/>
                <w:szCs w:val="18"/>
                <w:lang w:val="en-US" w:eastAsia="zh-CN"/>
              </w:rPr>
              <w:t>商业企业</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b/>
                <w:bCs/>
                <w:color w:val="000000"/>
                <w:sz w:val="18"/>
                <w:szCs w:val="18"/>
              </w:rPr>
            </w:pPr>
            <w:r>
              <w:rPr>
                <w:rFonts w:hint="eastAsia"/>
                <w:b/>
                <w:bCs/>
                <w:color w:val="000000"/>
                <w:sz w:val="18"/>
                <w:szCs w:val="18"/>
                <w:lang w:val="en-US" w:eastAsia="zh-CN"/>
              </w:rPr>
              <w:t>科研机构</w:t>
            </w:r>
          </w:p>
        </w:tc>
        <w:tc>
          <w:tcPr>
            <w:tcW w:w="862"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b/>
                <w:bCs/>
                <w:color w:val="000000"/>
                <w:sz w:val="18"/>
                <w:szCs w:val="18"/>
              </w:rPr>
            </w:pPr>
            <w:r>
              <w:rPr>
                <w:rFonts w:hint="eastAsia"/>
                <w:b/>
                <w:bCs/>
                <w:color w:val="000000"/>
                <w:sz w:val="18"/>
                <w:szCs w:val="18"/>
                <w:lang w:val="en-US" w:eastAsia="zh-CN"/>
              </w:rPr>
              <w:t>社会公益组织</w:t>
            </w:r>
          </w:p>
        </w:tc>
        <w:tc>
          <w:tcPr>
            <w:tcW w:w="791"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b/>
                <w:bCs/>
                <w:color w:val="000000"/>
                <w:sz w:val="18"/>
                <w:szCs w:val="18"/>
              </w:rPr>
            </w:pPr>
            <w:r>
              <w:rPr>
                <w:rFonts w:hint="eastAsia"/>
                <w:b/>
                <w:bCs/>
                <w:color w:val="000000"/>
                <w:sz w:val="18"/>
                <w:szCs w:val="18"/>
                <w:lang w:val="en-US" w:eastAsia="zh-CN"/>
              </w:rPr>
              <w:t>法律服务机构</w:t>
            </w:r>
          </w:p>
        </w:tc>
        <w:tc>
          <w:tcPr>
            <w:tcW w:w="626"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b/>
                <w:bCs/>
                <w:color w:val="000000"/>
                <w:sz w:val="18"/>
                <w:szCs w:val="18"/>
              </w:rPr>
            </w:pPr>
            <w:r>
              <w:rPr>
                <w:rFonts w:hint="eastAsia"/>
                <w:b/>
                <w:bCs/>
                <w:color w:val="000000"/>
                <w:sz w:val="18"/>
                <w:szCs w:val="18"/>
                <w:lang w:val="en-US" w:eastAsia="zh-CN"/>
              </w:rPr>
              <w:t>其他</w:t>
            </w: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b/>
                <w:bCs/>
                <w:color w:val="000000"/>
                <w:sz w:val="18"/>
                <w:szCs w:val="18"/>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4827"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rPr>
                <w:b/>
                <w:bCs/>
                <w:color w:val="000000"/>
                <w:sz w:val="18"/>
                <w:szCs w:val="18"/>
              </w:rPr>
            </w:pPr>
            <w:r>
              <w:rPr>
                <w:rFonts w:hint="eastAsia"/>
                <w:b/>
                <w:bCs/>
                <w:color w:val="000000"/>
                <w:sz w:val="18"/>
                <w:szCs w:val="18"/>
                <w:lang w:val="en-US" w:eastAsia="zh-CN"/>
              </w:rPr>
              <w:t>一、本年新收政府信息公开申请数量</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112</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4827"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rPr>
                <w:b/>
                <w:bCs/>
                <w:color w:val="000000"/>
                <w:sz w:val="18"/>
                <w:szCs w:val="18"/>
              </w:rPr>
            </w:pPr>
            <w:r>
              <w:rPr>
                <w:rFonts w:hint="eastAsia"/>
                <w:b/>
                <w:bCs/>
                <w:color w:val="000000"/>
                <w:sz w:val="18"/>
                <w:szCs w:val="18"/>
                <w:lang w:val="en-US" w:eastAsia="zh-CN"/>
              </w:rPr>
              <w:t>二、上年结转政府信息公开申请数量</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color w:val="000000"/>
                <w:sz w:val="18"/>
                <w:szCs w:val="18"/>
              </w:rPr>
            </w:pPr>
            <w:r>
              <w:rPr>
                <w:rFonts w:hint="eastAsia" w:ascii="宋体" w:hAnsi="宋体" w:eastAsia="宋体" w:cs="宋体"/>
                <w:b/>
                <w:bCs/>
                <w:color w:val="000000"/>
                <w:kern w:val="0"/>
                <w:sz w:val="18"/>
                <w:szCs w:val="18"/>
                <w:lang w:val="en-US" w:eastAsia="zh-CN"/>
              </w:rPr>
              <w:t>三、本年度办理结果</w:t>
            </w:r>
          </w:p>
        </w:tc>
        <w:tc>
          <w:tcPr>
            <w:tcW w:w="4294" w:type="dxa"/>
            <w:gridSpan w:val="2"/>
            <w:tcBorders>
              <w:top w:val="nil"/>
              <w:left w:val="nil"/>
              <w:bottom w:val="single" w:color="auto" w:sz="8" w:space="0"/>
              <w:right w:val="single" w:color="auto" w:sz="8" w:space="0"/>
            </w:tcBorders>
            <w:noWrap w:val="0"/>
            <w:tcMar>
              <w:left w:w="108" w:type="dxa"/>
              <w:right w:w="108" w:type="dxa"/>
            </w:tcMar>
            <w:vAlign w:val="center"/>
          </w:tcPr>
          <w:p>
            <w:pPr>
              <w:rPr>
                <w:color w:val="000000"/>
                <w:sz w:val="18"/>
                <w:szCs w:val="18"/>
              </w:rPr>
            </w:pPr>
            <w:r>
              <w:rPr>
                <w:rFonts w:hint="eastAsia"/>
                <w:b/>
                <w:bCs/>
                <w:color w:val="000000"/>
                <w:sz w:val="18"/>
                <w:szCs w:val="18"/>
                <w:lang w:val="en-US" w:eastAsia="zh-CN"/>
              </w:rPr>
              <w:t>（一）予以公开</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55</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4294" w:type="dxa"/>
            <w:gridSpan w:val="2"/>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color w:val="000000"/>
                <w:sz w:val="18"/>
                <w:szCs w:val="18"/>
              </w:rPr>
            </w:pPr>
            <w:r>
              <w:rPr>
                <w:rFonts w:hint="eastAsia"/>
                <w:b/>
                <w:bCs/>
                <w:color w:val="000000"/>
                <w:sz w:val="18"/>
                <w:szCs w:val="18"/>
                <w:lang w:val="en-US" w:eastAsia="zh-CN"/>
              </w:rPr>
              <w:t>（二）部分公开</w:t>
            </w:r>
            <w:r>
              <w:rPr>
                <w:rFonts w:hint="eastAsia" w:ascii="楷体" w:hAnsi="楷体" w:eastAsia="楷体" w:cs="楷体"/>
                <w:color w:val="000000"/>
                <w:sz w:val="18"/>
                <w:szCs w:val="18"/>
                <w:lang w:val="en-US" w:eastAsia="zh-CN"/>
              </w:rPr>
              <w:t>（区分处理的，只计这一情形，不计其他情形）</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restart"/>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b/>
                <w:bCs/>
                <w:color w:val="000000"/>
                <w:sz w:val="18"/>
                <w:szCs w:val="18"/>
                <w:lang w:val="en-US" w:eastAsia="zh-CN"/>
              </w:rPr>
              <w:t>（三）不予公开</w:t>
            </w:r>
          </w:p>
        </w:tc>
        <w:tc>
          <w:tcPr>
            <w:tcW w:w="2823" w:type="dxa"/>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1.属于国家秘密</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p>
        </w:tc>
        <w:tc>
          <w:tcPr>
            <w:tcW w:w="2823" w:type="dxa"/>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2.其他法律行政法规禁止公开</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p>
        </w:tc>
        <w:tc>
          <w:tcPr>
            <w:tcW w:w="2823" w:type="dxa"/>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3.危及“三安全一稳定”</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p>
        </w:tc>
        <w:tc>
          <w:tcPr>
            <w:tcW w:w="2823" w:type="dxa"/>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4.保护第三方合法权益</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p>
        </w:tc>
        <w:tc>
          <w:tcPr>
            <w:tcW w:w="2823" w:type="dxa"/>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5.属于三类内部事务信息</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0</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p>
        </w:tc>
        <w:tc>
          <w:tcPr>
            <w:tcW w:w="2823" w:type="dxa"/>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6.属于四类过程性信息</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p>
        </w:tc>
        <w:tc>
          <w:tcPr>
            <w:tcW w:w="2823" w:type="dxa"/>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7.属于行政执法案卷</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p>
        </w:tc>
        <w:tc>
          <w:tcPr>
            <w:tcW w:w="2823" w:type="dxa"/>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8.属于行政查询事项</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restart"/>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b/>
                <w:bCs/>
                <w:color w:val="000000"/>
                <w:sz w:val="18"/>
                <w:szCs w:val="18"/>
                <w:lang w:val="en-US" w:eastAsia="zh-CN"/>
              </w:rPr>
              <w:t>（四）无法提供</w:t>
            </w:r>
          </w:p>
        </w:tc>
        <w:tc>
          <w:tcPr>
            <w:tcW w:w="2823" w:type="dxa"/>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1.本机关不掌握相关政府信息</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40</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p>
        </w:tc>
        <w:tc>
          <w:tcPr>
            <w:tcW w:w="2823" w:type="dxa"/>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2.没有现成信息需要另行制作</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nil"/>
              <w:left w:val="nil"/>
              <w:bottom w:val="single" w:color="auto" w:sz="4"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p>
        </w:tc>
        <w:tc>
          <w:tcPr>
            <w:tcW w:w="2823" w:type="dxa"/>
            <w:tcBorders>
              <w:top w:val="nil"/>
              <w:left w:val="nil"/>
              <w:bottom w:val="single" w:color="auto" w:sz="4"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3.补正后申请内容仍不明确</w:t>
            </w:r>
          </w:p>
        </w:tc>
        <w:tc>
          <w:tcPr>
            <w:tcW w:w="578"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rPr>
                <w:rFonts w:hint="eastAsia" w:ascii="宋体" w:hAnsi="宋体" w:eastAsia="宋体" w:cs="宋体"/>
                <w:b/>
                <w:bCs/>
                <w:color w:val="000000"/>
                <w:sz w:val="18"/>
                <w:szCs w:val="18"/>
              </w:rPr>
            </w:pPr>
            <w:r>
              <w:rPr>
                <w:rFonts w:hint="eastAsia" w:ascii="宋体" w:hAnsi="宋体" w:eastAsia="宋体" w:cs="宋体"/>
                <w:b/>
                <w:bCs/>
                <w:color w:val="000000"/>
                <w:sz w:val="18"/>
                <w:szCs w:val="18"/>
                <w:lang w:val="en-US" w:eastAsia="zh-CN"/>
              </w:rPr>
              <w:t>（五）不予处理</w:t>
            </w:r>
          </w:p>
        </w:tc>
        <w:tc>
          <w:tcPr>
            <w:tcW w:w="2823"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1.信访举报投诉类申请</w:t>
            </w:r>
          </w:p>
        </w:tc>
        <w:tc>
          <w:tcPr>
            <w:tcW w:w="5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rPr>
                <w:rFonts w:hint="eastAsia" w:ascii="楷体_GB2312" w:hAnsi="楷体_GB2312" w:eastAsia="楷体_GB2312" w:cs="楷体_GB2312"/>
                <w:b/>
                <w:bCs/>
                <w:color w:val="000000"/>
                <w:sz w:val="18"/>
                <w:szCs w:val="18"/>
              </w:rPr>
            </w:pPr>
          </w:p>
        </w:tc>
        <w:tc>
          <w:tcPr>
            <w:tcW w:w="2823"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2.重复申请</w:t>
            </w:r>
          </w:p>
        </w:tc>
        <w:tc>
          <w:tcPr>
            <w:tcW w:w="5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rPr>
                <w:rFonts w:hint="eastAsia" w:ascii="楷体_GB2312" w:hAnsi="楷体_GB2312" w:eastAsia="楷体_GB2312" w:cs="楷体_GB2312"/>
                <w:b/>
                <w:bCs/>
                <w:color w:val="000000"/>
                <w:sz w:val="18"/>
                <w:szCs w:val="18"/>
              </w:rPr>
            </w:pPr>
          </w:p>
        </w:tc>
        <w:tc>
          <w:tcPr>
            <w:tcW w:w="2823"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3.要求提供公开出版物</w:t>
            </w:r>
          </w:p>
        </w:tc>
        <w:tc>
          <w:tcPr>
            <w:tcW w:w="5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single" w:color="auto" w:sz="4" w:space="0"/>
              <w:left w:val="single" w:color="auto" w:sz="4" w:space="0"/>
              <w:bottom w:val="single" w:color="auto" w:sz="8" w:space="0"/>
              <w:right w:val="single" w:color="auto" w:sz="8" w:space="0"/>
            </w:tcBorders>
            <w:noWrap w:val="0"/>
            <w:tcMar>
              <w:left w:w="108" w:type="dxa"/>
              <w:right w:w="108" w:type="dxa"/>
            </w:tcMar>
            <w:vAlign w:val="center"/>
          </w:tcPr>
          <w:p>
            <w:pPr>
              <w:rPr>
                <w:rFonts w:hint="eastAsia" w:ascii="楷体_GB2312" w:hAnsi="楷体_GB2312" w:eastAsia="楷体_GB2312" w:cs="楷体_GB2312"/>
                <w:b/>
                <w:bCs/>
                <w:color w:val="000000"/>
                <w:sz w:val="18"/>
                <w:szCs w:val="18"/>
              </w:rPr>
            </w:pPr>
          </w:p>
        </w:tc>
        <w:tc>
          <w:tcPr>
            <w:tcW w:w="2823" w:type="dxa"/>
            <w:tcBorders>
              <w:top w:val="single" w:color="auto" w:sz="4" w:space="0"/>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4.无正当理由大量反复申请</w:t>
            </w:r>
          </w:p>
        </w:tc>
        <w:tc>
          <w:tcPr>
            <w:tcW w:w="578"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12" w:hRule="exact"/>
          <w:jc w:val="center"/>
        </w:trPr>
        <w:tc>
          <w:tcPr>
            <w:tcW w:w="533" w:type="dxa"/>
            <w:vMerge w:val="continue"/>
            <w:tcBorders>
              <w:top w:val="nil"/>
              <w:left w:val="single" w:color="auto" w:sz="8" w:space="0"/>
              <w:bottom w:val="single" w:color="auto" w:sz="8"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nil"/>
              <w:left w:val="single" w:color="auto" w:sz="4" w:space="0"/>
              <w:bottom w:val="single" w:color="auto" w:sz="4" w:space="0"/>
              <w:right w:val="single" w:color="auto" w:sz="8" w:space="0"/>
            </w:tcBorders>
            <w:noWrap w:val="0"/>
            <w:tcMar>
              <w:left w:w="108" w:type="dxa"/>
              <w:right w:w="108" w:type="dxa"/>
            </w:tcMar>
            <w:vAlign w:val="center"/>
          </w:tcPr>
          <w:p>
            <w:pPr>
              <w:rPr>
                <w:rFonts w:hint="eastAsia" w:ascii="楷体_GB2312" w:hAnsi="楷体_GB2312" w:eastAsia="楷体_GB2312" w:cs="楷体_GB2312"/>
                <w:b/>
                <w:bCs/>
                <w:color w:val="000000"/>
                <w:sz w:val="18"/>
                <w:szCs w:val="18"/>
              </w:rPr>
            </w:pPr>
          </w:p>
        </w:tc>
        <w:tc>
          <w:tcPr>
            <w:tcW w:w="2823" w:type="dxa"/>
            <w:tcBorders>
              <w:top w:val="nil"/>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5.要求行政机关确认或重新出具已获取信息</w:t>
            </w:r>
          </w:p>
        </w:tc>
        <w:tc>
          <w:tcPr>
            <w:tcW w:w="578"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08" w:hRule="atLeast"/>
          <w:jc w:val="center"/>
        </w:trPr>
        <w:tc>
          <w:tcPr>
            <w:tcW w:w="533" w:type="dxa"/>
            <w:vMerge w:val="continue"/>
            <w:tcBorders>
              <w:top w:val="nil"/>
              <w:left w:val="single" w:color="auto" w:sz="8" w:space="0"/>
              <w:bottom w:val="single" w:color="auto" w:sz="8"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restart"/>
            <w:tcBorders>
              <w:top w:val="single" w:color="auto" w:sz="4" w:space="0"/>
              <w:left w:val="single" w:color="auto" w:sz="4" w:space="0"/>
              <w:bottom w:val="single" w:color="auto" w:sz="4" w:space="0"/>
              <w:right w:val="single" w:color="auto" w:sz="8" w:space="0"/>
            </w:tcBorders>
            <w:noWrap w:val="0"/>
            <w:tcMar>
              <w:left w:w="108" w:type="dxa"/>
              <w:right w:w="108" w:type="dxa"/>
            </w:tcMar>
            <w:vAlign w:val="center"/>
          </w:tcPr>
          <w:p>
            <w:pP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（六）其他处理</w:t>
            </w:r>
          </w:p>
        </w:tc>
        <w:tc>
          <w:tcPr>
            <w:tcW w:w="2823" w:type="dxa"/>
            <w:tcBorders>
              <w:top w:val="single" w:color="auto" w:sz="4" w:space="0"/>
              <w:left w:val="nil"/>
              <w:bottom w:val="single" w:color="auto" w:sz="4"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1.申请人无正当理由逾期不补正、行政机关不再处理其政府信息公开申请</w:t>
            </w:r>
          </w:p>
        </w:tc>
        <w:tc>
          <w:tcPr>
            <w:tcW w:w="578" w:type="dxa"/>
            <w:tcBorders>
              <w:top w:val="single" w:color="auto" w:sz="4" w:space="0"/>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single" w:color="auto" w:sz="4" w:space="0"/>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single" w:color="auto" w:sz="4" w:space="0"/>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single" w:color="auto" w:sz="4" w:space="0"/>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single" w:color="auto" w:sz="4" w:space="0"/>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single" w:color="auto" w:sz="4" w:space="0"/>
              <w:left w:val="nil"/>
              <w:bottom w:val="single" w:color="auto" w:sz="4"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single" w:color="auto" w:sz="4" w:space="0"/>
              <w:left w:val="nil"/>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43" w:hRule="atLeast"/>
          <w:jc w:val="center"/>
        </w:trPr>
        <w:tc>
          <w:tcPr>
            <w:tcW w:w="533" w:type="dxa"/>
            <w:vMerge w:val="continue"/>
            <w:tcBorders>
              <w:top w:val="nil"/>
              <w:left w:val="single" w:color="auto" w:sz="8" w:space="0"/>
              <w:bottom w:val="single" w:color="auto" w:sz="8"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top w:val="single" w:color="auto" w:sz="4" w:space="0"/>
              <w:left w:val="single" w:color="auto" w:sz="4" w:space="0"/>
              <w:right w:val="single" w:color="auto" w:sz="4" w:space="0"/>
            </w:tcBorders>
            <w:noWrap w:val="0"/>
            <w:tcMar>
              <w:left w:w="108" w:type="dxa"/>
              <w:right w:w="108" w:type="dxa"/>
            </w:tcMar>
            <w:vAlign w:val="center"/>
          </w:tcPr>
          <w:p>
            <w:pPr>
              <w:rPr>
                <w:rFonts w:hint="eastAsia" w:ascii="宋体" w:hAnsi="宋体" w:eastAsia="宋体" w:cs="宋体"/>
                <w:color w:val="000000"/>
                <w:sz w:val="18"/>
                <w:szCs w:val="18"/>
                <w:lang w:val="en-US" w:eastAsia="zh-CN"/>
              </w:rPr>
            </w:pPr>
          </w:p>
        </w:tc>
        <w:tc>
          <w:tcPr>
            <w:tcW w:w="2823"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2.申请人逾期未按收费通知要求缴纳费用、行政机关不再处理其政府信息公开申请</w:t>
            </w:r>
          </w:p>
        </w:tc>
        <w:tc>
          <w:tcPr>
            <w:tcW w:w="5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color w:val="000000"/>
                <w:sz w:val="18"/>
                <w:szCs w:val="18"/>
              </w:rPr>
            </w:pPr>
          </w:p>
        </w:tc>
        <w:tc>
          <w:tcPr>
            <w:tcW w:w="1471" w:type="dxa"/>
            <w:vMerge w:val="continue"/>
            <w:tcBorders>
              <w:left w:val="single" w:color="auto" w:sz="4" w:space="0"/>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lang w:val="en-US" w:eastAsia="zh-CN"/>
              </w:rPr>
            </w:pPr>
          </w:p>
        </w:tc>
        <w:tc>
          <w:tcPr>
            <w:tcW w:w="2823" w:type="dxa"/>
            <w:tcBorders>
              <w:top w:val="single" w:color="auto" w:sz="4" w:space="0"/>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3.其他</w:t>
            </w:r>
          </w:p>
        </w:tc>
        <w:tc>
          <w:tcPr>
            <w:tcW w:w="578"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single" w:color="auto" w:sz="4" w:space="0"/>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533"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b/>
                <w:bCs/>
                <w:color w:val="000000"/>
                <w:sz w:val="18"/>
                <w:szCs w:val="18"/>
              </w:rPr>
            </w:pPr>
          </w:p>
        </w:tc>
        <w:tc>
          <w:tcPr>
            <w:tcW w:w="4294" w:type="dxa"/>
            <w:gridSpan w:val="2"/>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（七）总计</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112</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exact"/>
          <w:jc w:val="center"/>
        </w:trPr>
        <w:tc>
          <w:tcPr>
            <w:tcW w:w="4827"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left"/>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四、结转下年度继续办理</w:t>
            </w:r>
          </w:p>
        </w:tc>
        <w:tc>
          <w:tcPr>
            <w:tcW w:w="57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p>
        </w:tc>
        <w:tc>
          <w:tcPr>
            <w:tcW w:w="5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3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86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9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316" w:beforeLines="100" w:after="159" w:afterLines="50" w:line="560" w:lineRule="exact"/>
        <w:ind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四、政府信息公开行政复议、行政诉讼情况</w:t>
      </w:r>
    </w:p>
    <w:tbl>
      <w:tblPr>
        <w:tblStyle w:val="1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65"/>
        <w:gridCol w:w="638"/>
        <w:gridCol w:w="744"/>
        <w:gridCol w:w="685"/>
        <w:gridCol w:w="673"/>
        <w:gridCol w:w="602"/>
        <w:gridCol w:w="626"/>
        <w:gridCol w:w="591"/>
        <w:gridCol w:w="614"/>
        <w:gridCol w:w="626"/>
        <w:gridCol w:w="650"/>
        <w:gridCol w:w="672"/>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405"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行政复议</w:t>
            </w:r>
          </w:p>
        </w:tc>
        <w:tc>
          <w:tcPr>
            <w:tcW w:w="6198"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65" w:type="dxa"/>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结果维持</w:t>
            </w:r>
          </w:p>
        </w:tc>
        <w:tc>
          <w:tcPr>
            <w:tcW w:w="638" w:type="dxa"/>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结果纠正</w:t>
            </w:r>
          </w:p>
        </w:tc>
        <w:tc>
          <w:tcPr>
            <w:tcW w:w="744" w:type="dxa"/>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其他结果</w:t>
            </w:r>
          </w:p>
        </w:tc>
        <w:tc>
          <w:tcPr>
            <w:tcW w:w="685" w:type="dxa"/>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尚未审结</w:t>
            </w:r>
          </w:p>
        </w:tc>
        <w:tc>
          <w:tcPr>
            <w:tcW w:w="673" w:type="dxa"/>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总计</w:t>
            </w:r>
          </w:p>
        </w:tc>
        <w:tc>
          <w:tcPr>
            <w:tcW w:w="3059" w:type="dxa"/>
            <w:gridSpan w:val="5"/>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未经复议直接起诉</w:t>
            </w:r>
          </w:p>
        </w:tc>
        <w:tc>
          <w:tcPr>
            <w:tcW w:w="3139" w:type="dxa"/>
            <w:gridSpan w:val="5"/>
            <w:tcBorders>
              <w:top w:val="single" w:color="auto" w:sz="8" w:space="0"/>
              <w:left w:val="single" w:color="auto" w:sz="4"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91" w:hRule="atLeast"/>
          <w:jc w:val="center"/>
        </w:trPr>
        <w:tc>
          <w:tcPr>
            <w:tcW w:w="665"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b/>
                <w:bCs/>
                <w:color w:val="000000"/>
                <w:sz w:val="18"/>
                <w:szCs w:val="18"/>
              </w:rPr>
            </w:pPr>
          </w:p>
        </w:tc>
        <w:tc>
          <w:tcPr>
            <w:tcW w:w="638"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b/>
                <w:bCs/>
                <w:color w:val="000000"/>
                <w:sz w:val="18"/>
                <w:szCs w:val="18"/>
              </w:rPr>
            </w:pPr>
          </w:p>
        </w:tc>
        <w:tc>
          <w:tcPr>
            <w:tcW w:w="744"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b/>
                <w:bCs/>
                <w:color w:val="000000"/>
                <w:sz w:val="18"/>
                <w:szCs w:val="18"/>
              </w:rPr>
            </w:pPr>
          </w:p>
        </w:tc>
        <w:tc>
          <w:tcPr>
            <w:tcW w:w="685"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b/>
                <w:bCs/>
                <w:color w:val="000000"/>
                <w:sz w:val="18"/>
                <w:szCs w:val="18"/>
              </w:rPr>
            </w:pPr>
          </w:p>
        </w:tc>
        <w:tc>
          <w:tcPr>
            <w:tcW w:w="673"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380" w:lineRule="exact"/>
              <w:textAlignment w:val="auto"/>
              <w:outlineLvl w:val="9"/>
              <w:rPr>
                <w:rFonts w:hint="eastAsia" w:ascii="宋体"/>
                <w:b/>
                <w:bCs/>
                <w:color w:val="000000"/>
                <w:sz w:val="18"/>
                <w:szCs w:val="18"/>
              </w:rPr>
            </w:pPr>
          </w:p>
        </w:tc>
        <w:tc>
          <w:tcPr>
            <w:tcW w:w="602"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结果维持</w:t>
            </w:r>
          </w:p>
        </w:tc>
        <w:tc>
          <w:tcPr>
            <w:tcW w:w="626"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结果纠正</w:t>
            </w:r>
          </w:p>
        </w:tc>
        <w:tc>
          <w:tcPr>
            <w:tcW w:w="5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其他结果</w:t>
            </w:r>
          </w:p>
        </w:tc>
        <w:tc>
          <w:tcPr>
            <w:tcW w:w="614"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尚未审结</w:t>
            </w:r>
          </w:p>
        </w:tc>
        <w:tc>
          <w:tcPr>
            <w:tcW w:w="626"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总计</w:t>
            </w:r>
          </w:p>
        </w:tc>
        <w:tc>
          <w:tcPr>
            <w:tcW w:w="650" w:type="dxa"/>
            <w:tcBorders>
              <w:top w:val="single" w:color="auto" w:sz="8" w:space="0"/>
              <w:left w:val="single" w:color="auto" w:sz="4"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结果维持</w:t>
            </w:r>
          </w:p>
        </w:tc>
        <w:tc>
          <w:tcPr>
            <w:tcW w:w="672"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其他结果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380" w:lineRule="exact"/>
              <w:ind w:left="0" w:right="0"/>
              <w:jc w:val="center"/>
              <w:textAlignment w:val="auto"/>
              <w:outlineLvl w:val="9"/>
              <w:rPr>
                <w:b/>
                <w:bCs/>
                <w:color w:val="000000"/>
                <w:sz w:val="18"/>
                <w:szCs w:val="18"/>
              </w:rPr>
            </w:pPr>
            <w:r>
              <w:rPr>
                <w:rFonts w:hint="eastAsia" w:ascii="宋体" w:hAnsi="宋体" w:eastAsia="宋体" w:cs="宋体"/>
                <w:b/>
                <w:bCs/>
                <w:color w:val="000000"/>
                <w:kern w:val="0"/>
                <w:sz w:val="18"/>
                <w:szCs w:val="18"/>
                <w:lang w:val="en-US" w:eastAsia="zh-CN"/>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75" w:hRule="atLeast"/>
          <w:jc w:val="center"/>
        </w:trPr>
        <w:tc>
          <w:tcPr>
            <w:tcW w:w="665" w:type="dxa"/>
            <w:tcBorders>
              <w:top w:val="single" w:color="auto" w:sz="4"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p>
        </w:tc>
        <w:tc>
          <w:tcPr>
            <w:tcW w:w="638" w:type="dxa"/>
            <w:tcBorders>
              <w:top w:val="single" w:color="auto" w:sz="4"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744" w:type="dxa"/>
            <w:tcBorders>
              <w:top w:val="single" w:color="auto" w:sz="4"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p>
        </w:tc>
        <w:tc>
          <w:tcPr>
            <w:tcW w:w="685" w:type="dxa"/>
            <w:tcBorders>
              <w:top w:val="single" w:color="auto" w:sz="4"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73" w:type="dxa"/>
            <w:tcBorders>
              <w:top w:val="single" w:color="auto" w:sz="4"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w:t>
            </w:r>
          </w:p>
        </w:tc>
        <w:tc>
          <w:tcPr>
            <w:tcW w:w="602" w:type="dxa"/>
            <w:tcBorders>
              <w:top w:val="single" w:color="auto" w:sz="4"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p>
        </w:tc>
        <w:tc>
          <w:tcPr>
            <w:tcW w:w="626" w:type="dxa"/>
            <w:tcBorders>
              <w:top w:val="single" w:color="auto" w:sz="4"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591" w:type="dxa"/>
            <w:tcBorders>
              <w:top w:val="single" w:color="auto" w:sz="4"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14" w:type="dxa"/>
            <w:tcBorders>
              <w:top w:val="single" w:color="auto" w:sz="4"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26" w:type="dxa"/>
            <w:tcBorders>
              <w:top w:val="single" w:color="auto" w:sz="4"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p>
        </w:tc>
        <w:tc>
          <w:tcPr>
            <w:tcW w:w="650"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0</w:t>
            </w:r>
          </w:p>
        </w:tc>
        <w:tc>
          <w:tcPr>
            <w:tcW w:w="672"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line="56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五、存在的主要问题及改进情况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（一）存在问题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是主动公开意识仍需提高，特别是教育、医疗、就业等群众关注的重点领域信息公开不够深入。二是政策解读形式过于单一，解读质量不高，部分部门的解读局限于主要内容上，对政策背景、出台目的等解读不充分。三是公开队伍的专业能力还需要进一步提高，特别是乡镇工作人员多是兼职且不稳定，在工作接续、依申请公开答复方面还需要加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仿宋_GB2312" w:hAnsi="仿宋_GB2312" w:eastAsia="仿宋_GB2312" w:cs="仿宋_GB2312"/>
          <w:color w:val="000000"/>
          <w:sz w:val="32"/>
          <w:szCs w:val="32"/>
          <w:lang w:val="en-US" w:eastAsia="zh-CN"/>
        </w:rPr>
        <w:t>（</w:t>
      </w:r>
      <w:r>
        <w:rPr>
          <w:rFonts w:hint="eastAsia" w:ascii="楷体_GB2312" w:hAnsi="楷体_GB2312" w:eastAsia="楷体_GB2312" w:cs="楷体_GB2312"/>
          <w:color w:val="000000"/>
          <w:sz w:val="32"/>
          <w:szCs w:val="32"/>
          <w:lang w:val="en-US" w:eastAsia="zh-CN"/>
        </w:rPr>
        <w:t>二）改进措施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一是增强主动公开意识。</w:t>
      </w:r>
      <w:r>
        <w:rPr>
          <w:rFonts w:hint="eastAsia" w:ascii="仿宋_GB2312" w:hAnsi="仿宋_GB2312" w:eastAsia="仿宋_GB2312" w:cs="仿宋_GB2312"/>
          <w:color w:val="000000"/>
          <w:sz w:val="32"/>
          <w:szCs w:val="32"/>
          <w:lang w:val="en-US" w:eastAsia="zh-CN"/>
        </w:rPr>
        <w:t>进一步夯实政务公开制度基础，完善信息公开闭环管理机制，不断提高主动公开意识。对照基层政务公开事项标准目录，深入推进教育、医疗、就业、食品安全等群众关注的重点领域信息公开。</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二是提升政策解读质量。</w:t>
      </w:r>
      <w:r>
        <w:rPr>
          <w:rFonts w:hint="eastAsia" w:ascii="仿宋_GB2312" w:hAnsi="仿宋_GB2312" w:eastAsia="仿宋_GB2312" w:cs="仿宋_GB2312"/>
          <w:color w:val="000000"/>
          <w:sz w:val="32"/>
          <w:szCs w:val="32"/>
          <w:lang w:val="en-US" w:eastAsia="zh-CN"/>
        </w:rPr>
        <w:t>印发《县政府政策性文件解读实施办法》，严格落实“三同步”部署要求。提高解读质量，解读内容要涵盖政策背景、决策依据、出台目的、重要举措等方面。提高图文解读、专家解读、动漫解读、新闻发布会和媒体解读等解读比例，丰富解读方式，确保群众看得懂、记得住、用得上。</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三是加强培训指导督促。</w:t>
      </w:r>
      <w:r>
        <w:rPr>
          <w:rFonts w:hint="eastAsia" w:ascii="仿宋_GB2312" w:hAnsi="仿宋_GB2312" w:eastAsia="仿宋_GB2312" w:cs="仿宋_GB2312"/>
          <w:color w:val="000000"/>
          <w:sz w:val="32"/>
          <w:szCs w:val="32"/>
          <w:lang w:val="en-US" w:eastAsia="zh-CN"/>
        </w:rPr>
        <w:t>深入贯彻落实《条例》，围绕年度报告编制、依申请公开办理、平台建设管理等方面加强培训指导，提高工作人员业务素质。健全政府信息公开工作考核机制，优化完善考核指标体系，加强日常监管。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color w:val="000000"/>
          <w:sz w:val="32"/>
          <w:szCs w:val="32"/>
          <w:lang w:val="en-US" w:eastAsia="zh-CN"/>
        </w:rPr>
        <w:t>六、其他需要报告的事项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（一）依据《政府信息公开信息处理费管理办法》收取信息处理费的情况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2021年度，未收取政府信息公开信息处理费。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(二)本行政机关落实上级年度政务公开工作要点情况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eastAsia="仿宋_GB2312"/>
          <w:b w:val="0"/>
          <w:bCs w:val="0"/>
          <w:sz w:val="32"/>
          <w:szCs w:val="32"/>
          <w:lang w:val="en-US" w:eastAsia="zh-CN"/>
        </w:rPr>
        <w:t>根据《关于印发2021年临沂市政务公开工作要点的通知》（临政办字〔2021〕30号）要求，结合沂南实际，制定下发了《2021年沂南县政务公开工作要点》，</w:t>
      </w:r>
      <w:r>
        <w:rPr>
          <w:rFonts w:hint="eastAsia" w:ascii="仿宋_GB2312" w:hAnsi="仿宋_GB2312" w:eastAsia="仿宋_GB2312" w:cs="仿宋_GB2312"/>
          <w:color w:val="000000"/>
          <w:sz w:val="32"/>
          <w:szCs w:val="32"/>
          <w:lang w:val="en-US" w:eastAsia="zh-CN"/>
        </w:rPr>
        <w:t>对2021年度政务公开重点工作进一步分解，明确工作任务具体要求和责任单位，确保落实到位。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一是深化重点领域政府信息公开方面。</w:t>
      </w:r>
      <w:r>
        <w:rPr>
          <w:rFonts w:hint="eastAsia" w:ascii="仿宋_GB2312" w:hAnsi="仿宋_GB2312" w:eastAsia="仿宋_GB2312" w:cs="仿宋_GB2312"/>
          <w:color w:val="000000"/>
          <w:sz w:val="32"/>
          <w:szCs w:val="32"/>
          <w:lang w:val="en-US" w:eastAsia="zh-CN"/>
        </w:rPr>
        <w:t>主动公开“十四五”规划和专项规划、空间规划、区域规划等，做好历史规划（计划）的归集整理和主动公开工作。更新完善权责清单和机构职能，推进政务服务标准化、规范化、便利化。加大高校毕业生、退役军人、困难人员等就业信息公开力度。持续做好学前教育、义务教育、民办和职业教育等信息公开。围绕散发疫情、隔离管控、精准防控、冷链运输、流调溯源、疫苗使用、假期人员流动等发布权威信息，及时发布社会关注的重要政策、防控动态和通知公告。</w:t>
      </w:r>
    </w:p>
    <w:p>
      <w:pPr>
        <w:pStyle w:val="2"/>
        <w:keepNext w:val="0"/>
        <w:keepLines w:val="0"/>
        <w:pageBreakBefore w:val="0"/>
        <w:widowControl w:val="0"/>
        <w:kinsoku/>
        <w:wordWrap/>
        <w:overflowPunct/>
        <w:topLinePunct w:val="0"/>
        <w:autoSpaceDE/>
        <w:autoSpaceDN/>
        <w:bidi w:val="0"/>
        <w:spacing w:line="560" w:lineRule="exact"/>
        <w:textAlignment w:val="auto"/>
        <w:rPr>
          <w:rFonts w:hint="eastAsia"/>
          <w:lang w:val="en-US" w:eastAsia="zh-CN"/>
        </w:rPr>
      </w:pPr>
      <w:r>
        <w:rPr>
          <w:rFonts w:hint="eastAsia" w:ascii="仿宋_GB2312" w:hAnsi="仿宋_GB2312" w:eastAsia="仿宋_GB2312" w:cs="仿宋_GB2312"/>
          <w:b/>
          <w:bCs/>
          <w:color w:val="000000"/>
          <w:kern w:val="2"/>
          <w:sz w:val="32"/>
          <w:szCs w:val="32"/>
          <w:lang w:val="en-US" w:eastAsia="zh-CN" w:bidi="ar-SA"/>
        </w:rPr>
        <w:t>二是加</w:t>
      </w:r>
      <w:r>
        <w:rPr>
          <w:rFonts w:hint="eastAsia" w:hAnsi="仿宋_GB2312" w:cs="仿宋_GB2312"/>
          <w:b/>
          <w:bCs/>
          <w:color w:val="000000"/>
          <w:kern w:val="2"/>
          <w:sz w:val="32"/>
          <w:szCs w:val="32"/>
          <w:lang w:val="en-US" w:eastAsia="zh-CN" w:bidi="ar-SA"/>
        </w:rPr>
        <w:t>强</w:t>
      </w:r>
      <w:r>
        <w:rPr>
          <w:rFonts w:hint="eastAsia" w:ascii="仿宋_GB2312" w:hAnsi="仿宋_GB2312" w:eastAsia="仿宋_GB2312" w:cs="仿宋_GB2312"/>
          <w:b/>
          <w:bCs/>
          <w:color w:val="000000"/>
          <w:kern w:val="2"/>
          <w:sz w:val="32"/>
          <w:szCs w:val="32"/>
          <w:lang w:val="en-US" w:eastAsia="zh-CN" w:bidi="ar-SA"/>
        </w:rPr>
        <w:t>政策发布、解读和回应方面。</w:t>
      </w:r>
      <w:r>
        <w:rPr>
          <w:rFonts w:hint="eastAsia"/>
          <w:lang w:val="en-US" w:eastAsia="zh-CN"/>
        </w:rPr>
        <w:t>在乡村振兴、城市建设、生态环保、民生保障等重点工作方面，及时发布权威信息，促进各项政策落地见效。严格落实政策解读“三同步”制度，做好行政规范性文件、重要政策文件等解读。全面提升解读工作质量，注重对政策背景、出台目的、重要举措等方面的实质性解读。密切关注涉及疫情防控、生态环境污染、食药安全、困难群众生活等方面的舆情，及时作出回应。</w:t>
      </w:r>
    </w:p>
    <w:p>
      <w:pPr>
        <w:pStyle w:val="2"/>
        <w:keepNext w:val="0"/>
        <w:keepLines w:val="0"/>
        <w:pageBreakBefore w:val="0"/>
        <w:widowControl w:val="0"/>
        <w:kinsoku/>
        <w:wordWrap/>
        <w:overflowPunct/>
        <w:topLinePunct w:val="0"/>
        <w:autoSpaceDE/>
        <w:autoSpaceDN/>
        <w:bidi w:val="0"/>
        <w:spacing w:line="560" w:lineRule="exact"/>
        <w:textAlignment w:val="auto"/>
        <w:rPr>
          <w:rFonts w:hint="eastAsia"/>
          <w:lang w:val="en-US" w:eastAsia="zh-CN"/>
        </w:rPr>
      </w:pPr>
      <w:r>
        <w:rPr>
          <w:rFonts w:hint="eastAsia" w:ascii="仿宋_GB2312" w:hAnsi="仿宋_GB2312" w:eastAsia="仿宋_GB2312" w:cs="仿宋_GB2312"/>
          <w:b/>
          <w:bCs/>
          <w:color w:val="000000"/>
          <w:kern w:val="2"/>
          <w:sz w:val="32"/>
          <w:szCs w:val="32"/>
          <w:lang w:val="en-US" w:eastAsia="zh-CN" w:bidi="ar-SA"/>
        </w:rPr>
        <w:t>三是强化公众参与推动高水平决策公开方面。</w:t>
      </w:r>
      <w:r>
        <w:rPr>
          <w:rFonts w:hint="eastAsia"/>
          <w:lang w:val="en-US" w:eastAsia="zh-CN"/>
        </w:rPr>
        <w:t>发布2021年度决策事项目录，明确决策事项名称、承办单位等内容，并根据决策事项的推进情况，以目录归集的方式，对集中展示各事项的决策草案、制订背景、意见征集采纳情况、会议审议情况、决策结果等信息。积极邀请利益相关方列席常务会。2021年举办沂南县“政府开放月”活动，全县共50个部门单位参与。丰富政民互动形式，围绕财政预决算、环境保护、食品药品、教育等领域，积极开展在线访谈活动。</w:t>
      </w:r>
    </w:p>
    <w:p>
      <w:pPr>
        <w:pStyle w:val="2"/>
        <w:keepNext w:val="0"/>
        <w:keepLines w:val="0"/>
        <w:pageBreakBefore w:val="0"/>
        <w:widowControl w:val="0"/>
        <w:kinsoku/>
        <w:wordWrap/>
        <w:overflowPunct/>
        <w:topLinePunct w:val="0"/>
        <w:autoSpaceDE/>
        <w:autoSpaceDN/>
        <w:bidi w:val="0"/>
        <w:spacing w:line="560" w:lineRule="exact"/>
        <w:textAlignment w:val="auto"/>
        <w:rPr>
          <w:rFonts w:hint="eastAsia" w:eastAsia="仿宋_GB2312"/>
          <w:lang w:val="en-US" w:eastAsia="zh-CN"/>
        </w:rPr>
      </w:pPr>
      <w:r>
        <w:rPr>
          <w:rFonts w:hint="eastAsia" w:ascii="仿宋_GB2312" w:hAnsi="仿宋_GB2312" w:eastAsia="仿宋_GB2312" w:cs="仿宋_GB2312"/>
          <w:b/>
          <w:bCs/>
          <w:color w:val="000000"/>
          <w:kern w:val="2"/>
          <w:sz w:val="32"/>
          <w:szCs w:val="32"/>
          <w:lang w:val="en-US" w:eastAsia="zh-CN" w:bidi="ar-SA"/>
        </w:rPr>
        <w:t>四是提升基层政务公开标准化规范化水平方面。</w:t>
      </w:r>
      <w:r>
        <w:rPr>
          <w:rFonts w:hint="eastAsia"/>
        </w:rPr>
        <w:t>严格政府信息管理</w:t>
      </w:r>
      <w:r>
        <w:rPr>
          <w:rFonts w:hint="eastAsia"/>
          <w:lang w:eastAsia="zh-CN"/>
        </w:rPr>
        <w:t>，</w:t>
      </w:r>
      <w:r>
        <w:rPr>
          <w:rFonts w:hint="eastAsia"/>
        </w:rPr>
        <w:t>推进规范性文件、政策性文件集中统一公开</w:t>
      </w:r>
      <w:r>
        <w:rPr>
          <w:rFonts w:hint="eastAsia"/>
          <w:lang w:eastAsia="zh-CN"/>
        </w:rPr>
        <w:t>。</w:t>
      </w:r>
      <w:r>
        <w:rPr>
          <w:rFonts w:hint="eastAsia"/>
        </w:rPr>
        <w:t>进一步健全</w:t>
      </w:r>
      <w:r>
        <w:rPr>
          <w:rFonts w:hint="eastAsia"/>
          <w:lang w:val="en-US" w:eastAsia="zh-CN"/>
        </w:rPr>
        <w:t>依申请公开</w:t>
      </w:r>
      <w:r>
        <w:rPr>
          <w:rFonts w:hint="eastAsia"/>
        </w:rPr>
        <w:t>完善登记、审核、办理、答复、归档等工作制度，严格依法依规办理。加强政务公开平台建设</w:t>
      </w:r>
      <w:r>
        <w:rPr>
          <w:rFonts w:hint="eastAsia"/>
          <w:lang w:eastAsia="zh-CN"/>
        </w:rPr>
        <w:t>，</w:t>
      </w:r>
      <w:r>
        <w:rPr>
          <w:rFonts w:hint="eastAsia"/>
        </w:rPr>
        <w:t>推进政府门户网站、政务公开平台、政务服务网全面融合，实现“进一张网</w:t>
      </w:r>
      <w:r>
        <w:rPr>
          <w:rFonts w:hint="eastAsia"/>
          <w:lang w:eastAsia="zh-CN"/>
        </w:rPr>
        <w:t>，</w:t>
      </w:r>
      <w:r>
        <w:rPr>
          <w:rFonts w:hint="eastAsia"/>
        </w:rPr>
        <w:t>办全省事”。</w:t>
      </w:r>
      <w:r>
        <w:rPr>
          <w:rFonts w:hint="eastAsia"/>
          <w:lang w:val="en-US" w:eastAsia="zh-CN"/>
        </w:rPr>
        <w:t>要求</w:t>
      </w:r>
      <w:r>
        <w:rPr>
          <w:rFonts w:hint="eastAsia"/>
        </w:rPr>
        <w:t>各乡镇（街道、开发区）、县行政审批局做好政务公开</w:t>
      </w:r>
      <w:r>
        <w:rPr>
          <w:rFonts w:hint="eastAsia"/>
          <w:lang w:val="en-US" w:eastAsia="zh-CN"/>
        </w:rPr>
        <w:t>体验区</w:t>
      </w:r>
      <w:r>
        <w:rPr>
          <w:rFonts w:hint="eastAsia"/>
        </w:rPr>
        <w:t>、政府信息公开窗口</w:t>
      </w:r>
      <w:r>
        <w:rPr>
          <w:rFonts w:hint="eastAsia"/>
          <w:lang w:val="en-US" w:eastAsia="zh-CN"/>
        </w:rPr>
        <w:t>的</w:t>
      </w:r>
      <w:r>
        <w:rPr>
          <w:rFonts w:hint="eastAsia"/>
        </w:rPr>
        <w:t>建设。</w:t>
      </w:r>
    </w:p>
    <w:p>
      <w:pPr>
        <w:pStyle w:val="2"/>
        <w:keepNext w:val="0"/>
        <w:keepLines w:val="0"/>
        <w:pageBreakBefore w:val="0"/>
        <w:widowControl w:val="0"/>
        <w:kinsoku/>
        <w:wordWrap/>
        <w:overflowPunct/>
        <w:topLinePunct w:val="0"/>
        <w:autoSpaceDE/>
        <w:autoSpaceDN/>
        <w:bidi w:val="0"/>
        <w:spacing w:line="560" w:lineRule="exact"/>
        <w:textAlignment w:val="auto"/>
        <w:rPr>
          <w:rFonts w:hint="default"/>
          <w:lang w:val="en-US" w:eastAsia="zh-CN"/>
        </w:rPr>
      </w:pPr>
      <w:r>
        <w:rPr>
          <w:rFonts w:hint="eastAsia" w:hAnsi="仿宋_GB2312" w:cs="仿宋_GB2312"/>
          <w:b/>
          <w:bCs/>
          <w:color w:val="000000"/>
          <w:kern w:val="2"/>
          <w:sz w:val="32"/>
          <w:szCs w:val="32"/>
          <w:lang w:val="en-US" w:eastAsia="zh-CN" w:bidi="ar-SA"/>
        </w:rPr>
        <w:t>五</w:t>
      </w:r>
      <w:r>
        <w:rPr>
          <w:rFonts w:hint="eastAsia" w:ascii="仿宋_GB2312" w:hAnsi="仿宋_GB2312" w:eastAsia="仿宋_GB2312" w:cs="仿宋_GB2312"/>
          <w:b/>
          <w:bCs/>
          <w:color w:val="000000"/>
          <w:kern w:val="2"/>
          <w:sz w:val="32"/>
          <w:szCs w:val="32"/>
          <w:lang w:val="en-US" w:eastAsia="zh-CN" w:bidi="ar-SA"/>
        </w:rPr>
        <w:t>是夯实政务公开工作基础和保障方面。</w:t>
      </w:r>
      <w:r>
        <w:rPr>
          <w:rFonts w:hint="eastAsia"/>
          <w:lang w:val="en-US" w:eastAsia="zh-CN"/>
        </w:rPr>
        <w:t>加强政务公开工作机构建设，配齐配强工作人员。建立健全政务公开考核制度，继续将政务公开工作纳入全县综合发展考核。强化激励问责，对政务公开工作推动有力、贡献突出的单位和个人予以表扬。对工作落实不到位、考核长期落后的单位，公开通报批评，督促工作整改提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（三）本行政机关人大代表建议和政协提案办理结果公开情况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_GB2312" w:eastAsia="仿宋_GB2312" w:cs="仿宋_GB2312"/>
          <w:color w:val="000000"/>
          <w:kern w:val="0"/>
          <w:sz w:val="32"/>
          <w:szCs w:val="32"/>
          <w:shd w:val="clear" w:color="auto" w:fill="FFFFFF"/>
          <w:lang w:val="en-US" w:eastAsia="zh-CN" w:bidi="ar-SA"/>
        </w:rPr>
      </w:pPr>
      <w:r>
        <w:rPr>
          <w:rFonts w:hint="eastAsia" w:ascii="仿宋_GB2312" w:hAnsi="仿宋_GB2312" w:eastAsia="仿宋_GB2312" w:cs="仿宋_GB2312"/>
          <w:color w:val="000000"/>
          <w:kern w:val="0"/>
          <w:sz w:val="32"/>
          <w:szCs w:val="32"/>
          <w:shd w:val="clear" w:color="auto" w:fill="FFFFFF"/>
          <w:lang w:val="en-US" w:eastAsia="zh-CN" w:bidi="ar-SA"/>
        </w:rPr>
        <w:t>2021年度，全县共办理人大代表建议84件、政协委员提案229件，除涉及国家秘密、工作秘密的，办理结果情况均在沂南县人民政府网站予以公开。同时，在县政府网站设立专栏，分别公开沂南县人大代表建议和政协提案办理结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(四)本行政机关年度政务公开工作创新情况</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ascii="仿宋_GB2312" w:hAnsi="仿宋_GB2312" w:eastAsia="仿宋_GB2312" w:cs="仿宋_GB2312"/>
          <w:b/>
          <w:bCs/>
          <w:color w:val="000000"/>
          <w:kern w:val="2"/>
          <w:sz w:val="32"/>
          <w:szCs w:val="32"/>
          <w:lang w:val="en-US" w:eastAsia="zh-CN" w:bidi="ar-SA"/>
        </w:rPr>
        <w:t>一是打造政务公开体验区</w:t>
      </w:r>
      <w:r>
        <w:rPr>
          <w:rFonts w:hint="eastAsia" w:hAnsi="仿宋_GB2312" w:cs="仿宋_GB2312"/>
          <w:b/>
          <w:bCs/>
          <w:color w:val="000000"/>
          <w:kern w:val="2"/>
          <w:sz w:val="32"/>
          <w:szCs w:val="32"/>
          <w:lang w:val="en-US" w:eastAsia="zh-CN" w:bidi="ar-SA"/>
        </w:rPr>
        <w:t>，</w:t>
      </w:r>
      <w:r>
        <w:rPr>
          <w:rFonts w:hint="eastAsia" w:ascii="仿宋_GB2312" w:hAnsi="仿宋_GB2312" w:eastAsia="仿宋_GB2312" w:cs="仿宋_GB2312"/>
          <w:b/>
          <w:bCs/>
          <w:color w:val="000000"/>
          <w:kern w:val="2"/>
          <w:sz w:val="32"/>
          <w:szCs w:val="32"/>
          <w:lang w:val="en-US" w:eastAsia="zh-CN" w:bidi="ar-SA"/>
        </w:rPr>
        <w:t>提升群众参与度和获得感</w:t>
      </w:r>
      <w:r>
        <w:rPr>
          <w:rFonts w:hint="eastAsia" w:hAnsi="仿宋_GB2312" w:cs="仿宋_GB2312"/>
          <w:b/>
          <w:bCs/>
          <w:color w:val="000000"/>
          <w:kern w:val="2"/>
          <w:sz w:val="32"/>
          <w:szCs w:val="32"/>
          <w:lang w:val="en-US" w:eastAsia="zh-CN" w:bidi="ar-SA"/>
        </w:rPr>
        <w:t>。</w:t>
      </w:r>
      <w:r>
        <w:rPr>
          <w:rFonts w:hint="eastAsia"/>
          <w:lang w:val="en-US" w:eastAsia="zh-CN"/>
        </w:rPr>
        <w:t>统一建设标准，在县政务服务中心和乡镇（街道）便民服务中心设置“政务公开体验区”，配备查询机、电脑等信息查阅终端，方便群众线上查阅信息。在县政务服务中心设立24小时自助服务专区，配备了2台政务服务一体机、1台商事登记自助服务终端设备，推行7×24小时“不打烊”随时办服务。增设政务服务一体机，涵盖热门服务、自助办事、自助打印、便民服务4个模块。依托互联网，办事群众可查看办事指南，进行网上申报、在线申报。开启“零距离”帮办服务新模式，在政务服务中心敞开式自助办公区，配备帮办代办人员提供全流程指导服务。</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i w:val="0"/>
          <w:caps w:val="0"/>
          <w:color w:val="000000"/>
          <w:spacing w:val="0"/>
          <w:sz w:val="32"/>
          <w:szCs w:val="32"/>
          <w:shd w:val="clear" w:color="auto" w:fill="FFFFFF"/>
          <w:lang w:val="en-US" w:eastAsia="zh-CN"/>
        </w:rPr>
      </w:pPr>
      <w:r>
        <w:rPr>
          <w:rFonts w:hint="eastAsia" w:ascii="黑体" w:hAnsi="黑体" w:eastAsia="黑体" w:cs="黑体"/>
          <w:i w:val="0"/>
          <w:caps w:val="0"/>
          <w:color w:val="000000"/>
          <w:spacing w:val="0"/>
          <w:sz w:val="32"/>
          <w:szCs w:val="32"/>
          <w:shd w:val="clear" w:color="auto" w:fill="FFFFFF"/>
          <w:lang w:val="en-US" w:eastAsia="zh-CN"/>
        </w:rPr>
        <w:drawing>
          <wp:anchor distT="0" distB="0" distL="114300" distR="114300" simplePos="0" relativeHeight="251660288" behindDoc="0" locked="0" layoutInCell="1" allowOverlap="1">
            <wp:simplePos x="0" y="0"/>
            <wp:positionH relativeFrom="column">
              <wp:posOffset>2818765</wp:posOffset>
            </wp:positionH>
            <wp:positionV relativeFrom="page">
              <wp:posOffset>7150735</wp:posOffset>
            </wp:positionV>
            <wp:extent cx="2814320" cy="2425700"/>
            <wp:effectExtent l="0" t="0" r="5080" b="0"/>
            <wp:wrapTopAndBottom/>
            <wp:docPr id="8" name="图片 8" descr="379c3777fd61944157183bd50e6f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79c3777fd61944157183bd50e6f34b"/>
                    <pic:cNvPicPr>
                      <a:picLocks noChangeAspect="1"/>
                    </pic:cNvPicPr>
                  </pic:nvPicPr>
                  <pic:blipFill>
                    <a:blip r:embed="rId6"/>
                    <a:stretch>
                      <a:fillRect/>
                    </a:stretch>
                  </pic:blipFill>
                  <pic:spPr>
                    <a:xfrm>
                      <a:off x="0" y="0"/>
                      <a:ext cx="2814320" cy="2425700"/>
                    </a:xfrm>
                    <a:prstGeom prst="rect">
                      <a:avLst/>
                    </a:prstGeom>
                  </pic:spPr>
                </pic:pic>
              </a:graphicData>
            </a:graphic>
          </wp:anchor>
        </w:drawing>
      </w:r>
      <w:r>
        <w:rPr>
          <w:rFonts w:ascii="仿宋_GB2312" w:eastAsia="仿宋_GB2312"/>
          <w:szCs w:val="32"/>
        </w:rPr>
        <w:drawing>
          <wp:anchor distT="0" distB="0" distL="114300" distR="114300" simplePos="0" relativeHeight="251659264" behindDoc="0" locked="0" layoutInCell="1" allowOverlap="1">
            <wp:simplePos x="0" y="0"/>
            <wp:positionH relativeFrom="column">
              <wp:posOffset>-71120</wp:posOffset>
            </wp:positionH>
            <wp:positionV relativeFrom="page">
              <wp:posOffset>6988810</wp:posOffset>
            </wp:positionV>
            <wp:extent cx="3039110" cy="2806065"/>
            <wp:effectExtent l="0" t="0" r="8890" b="635"/>
            <wp:wrapTopAndBottom/>
            <wp:docPr id="7" name="图片 7" descr="附件8.沂南县人民政府办公室关于印发沂南县政府信息依申请公开五个制度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8.沂南县人民政府办公室关于印发沂南县政府信息依申请公开五个制度的通知_01"/>
                    <pic:cNvPicPr>
                      <a:picLocks noChangeAspect="1"/>
                    </pic:cNvPicPr>
                  </pic:nvPicPr>
                  <pic:blipFill>
                    <a:blip r:embed="rId7"/>
                    <a:stretch>
                      <a:fillRect/>
                    </a:stretch>
                  </pic:blipFill>
                  <pic:spPr>
                    <a:xfrm>
                      <a:off x="0" y="0"/>
                      <a:ext cx="3039110" cy="2806065"/>
                    </a:xfrm>
                    <a:prstGeom prst="rect">
                      <a:avLst/>
                    </a:prstGeom>
                    <a:noFill/>
                    <a:ln>
                      <a:noFill/>
                    </a:ln>
                  </pic:spPr>
                </pic:pic>
              </a:graphicData>
            </a:graphic>
          </wp:anchor>
        </w:drawing>
      </w:r>
      <w:r>
        <w:rPr>
          <w:rFonts w:hint="default" w:ascii="仿宋" w:hAnsi="仿宋" w:eastAsia="仿宋" w:cs="仿宋"/>
          <w:sz w:val="32"/>
          <w:szCs w:val="32"/>
          <w:lang w:val="en-US"/>
        </w:rPr>
        <w:drawing>
          <wp:anchor distT="0" distB="0" distL="0" distR="0" simplePos="0" relativeHeight="251661312" behindDoc="0" locked="0" layoutInCell="1" allowOverlap="1">
            <wp:simplePos x="0" y="0"/>
            <wp:positionH relativeFrom="column">
              <wp:posOffset>245110</wp:posOffset>
            </wp:positionH>
            <wp:positionV relativeFrom="paragraph">
              <wp:posOffset>114935</wp:posOffset>
            </wp:positionV>
            <wp:extent cx="5412740" cy="2677795"/>
            <wp:effectExtent l="0" t="0" r="10160" b="1905"/>
            <wp:wrapTopAndBottom/>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8"/>
                    <a:stretch>
                      <a:fillRect/>
                    </a:stretch>
                  </pic:blipFill>
                  <pic:spPr>
                    <a:xfrm>
                      <a:off x="0" y="0"/>
                      <a:ext cx="5412740" cy="2677795"/>
                    </a:xfrm>
                    <a:prstGeom prst="rect">
                      <a:avLst/>
                    </a:prstGeom>
                  </pic:spPr>
                </pic:pic>
              </a:graphicData>
            </a:graphic>
          </wp:anchor>
        </w:drawing>
      </w:r>
      <w:r>
        <w:rPr>
          <w:rFonts w:hint="eastAsia" w:ascii="仿宋" w:hAnsi="仿宋" w:eastAsia="仿宋" w:cs="仿宋"/>
          <w:sz w:val="32"/>
          <w:szCs w:val="32"/>
          <w:lang w:val="en-US" w:eastAsia="zh-CN"/>
        </w:rPr>
        <w:t>二</w:t>
      </w:r>
      <w:r>
        <w:rPr>
          <w:rFonts w:hint="eastAsia" w:ascii="仿宋_GB2312" w:hAnsi="仿宋_GB2312" w:eastAsia="仿宋_GB2312" w:cs="仿宋_GB2312"/>
          <w:b/>
          <w:bCs/>
          <w:color w:val="000000"/>
          <w:sz w:val="32"/>
          <w:szCs w:val="32"/>
          <w:lang w:val="en-US" w:eastAsia="zh-CN"/>
        </w:rPr>
        <w:t>是抓好制度建设，实现依申请公开规范答复。</w:t>
      </w:r>
      <w:r>
        <w:rPr>
          <w:rFonts w:hint="eastAsia" w:ascii="仿宋_GB2312" w:hAnsi="楷体" w:eastAsia="仿宋_GB2312"/>
          <w:sz w:val="32"/>
          <w:szCs w:val="32"/>
          <w:lang w:eastAsia="zh-CN"/>
        </w:rPr>
        <w:t>规范依申请公开信息台账建设，</w:t>
      </w:r>
      <w:r>
        <w:rPr>
          <w:rFonts w:hint="eastAsia" w:ascii="仿宋" w:hAnsi="仿宋" w:eastAsia="仿宋" w:cs="仿宋"/>
          <w:i w:val="0"/>
          <w:caps w:val="0"/>
          <w:color w:val="000000"/>
          <w:spacing w:val="0"/>
          <w:sz w:val="32"/>
          <w:szCs w:val="32"/>
          <w:shd w:val="clear" w:color="auto" w:fill="FFFFFF"/>
          <w:lang w:val="en-US" w:eastAsia="zh-CN"/>
        </w:rPr>
        <w:t>建立登记、办理、审核、答复、归档依申请公开办理程序。对县政府和县政府办公室收到的依申请公开，按照会商研判、部门提初步意见、公开办审核、司法局把关、县领导审签的五步工作法进行办理，确保答复准确、及时。定期组织开展依申请公开工作的暗访，对各单位的渠道畅通性、答复内容和形式的规范性进行评估，并将评估结果纳入政务公开考核。</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baseline"/>
        <w:rPr>
          <w:rFonts w:hint="eastAsia" w:ascii="仿宋" w:hAnsi="仿宋" w:eastAsia="仿宋" w:cs="仿宋"/>
          <w:b w:val="0"/>
          <w:bCs w:val="0"/>
          <w:sz w:val="32"/>
          <w:szCs w:val="32"/>
          <w:vertAlign w:val="baseline"/>
        </w:rPr>
      </w:pPr>
      <w:r>
        <w:rPr>
          <w:rFonts w:hint="eastAsia" w:ascii="仿宋_GB2312" w:hAnsi="仿宋_GB2312" w:eastAsia="仿宋_GB2312" w:cs="仿宋_GB2312"/>
          <w:b/>
          <w:bCs/>
          <w:color w:val="000000"/>
          <w:kern w:val="2"/>
          <w:sz w:val="32"/>
          <w:szCs w:val="32"/>
          <w:lang w:val="en-US" w:eastAsia="zh-CN" w:bidi="ar-SA"/>
        </w:rPr>
        <w:t>三是丰富解读形式，让政策“深入民心”。</w:t>
      </w:r>
      <w:r>
        <w:rPr>
          <w:rFonts w:hint="eastAsia" w:ascii="仿宋" w:hAnsi="仿宋" w:eastAsia="仿宋" w:cs="仿宋"/>
          <w:b w:val="0"/>
          <w:bCs w:val="0"/>
          <w:sz w:val="32"/>
          <w:szCs w:val="32"/>
          <w:vertAlign w:val="baseline"/>
        </w:rPr>
        <w:t>建立政策解读库</w:t>
      </w:r>
      <w:r>
        <w:rPr>
          <w:rFonts w:hint="eastAsia" w:ascii="仿宋" w:hAnsi="仿宋" w:eastAsia="仿宋" w:cs="仿宋"/>
          <w:b w:val="0"/>
          <w:bCs w:val="0"/>
          <w:sz w:val="32"/>
          <w:szCs w:val="32"/>
          <w:vertAlign w:val="baseline"/>
          <w:lang w:eastAsia="zh-CN"/>
        </w:rPr>
        <w:t>，</w:t>
      </w:r>
      <w:r>
        <w:rPr>
          <w:rFonts w:hint="eastAsia" w:ascii="仿宋" w:hAnsi="仿宋" w:eastAsia="仿宋" w:cs="仿宋"/>
          <w:b w:val="0"/>
          <w:bCs w:val="0"/>
          <w:sz w:val="32"/>
          <w:szCs w:val="32"/>
          <w:vertAlign w:val="baseline"/>
        </w:rPr>
        <w:t>对涉及面广、社会关注度高的县政府政策性文件，对文件正文和文字解读材料进行梳理、分类、提炼、精简，重新归纳组织，通过文字解读、一把手解读、图文解读、音频解读、简明问答、视频解读、动漫解读、新闻发布会等予以展现。解读材料使用深入浅出、通俗易懂的语言，配以案例、数据，让群众听得懂、记得住、信得过、用得上。</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0"/>
        <w:jc w:val="both"/>
        <w:textAlignment w:val="baseline"/>
        <w:rPr>
          <w:rFonts w:hint="eastAsia" w:ascii="微软雅黑" w:hAnsi="微软雅黑" w:eastAsia="微软雅黑" w:cs="微软雅黑"/>
          <w:b w:val="0"/>
          <w:bCs w:val="0"/>
          <w:sz w:val="18"/>
          <w:szCs w:val="18"/>
          <w:bdr w:val="single" w:color="CCCCCC" w:sz="4" w:space="0"/>
          <w:vertAlign w:val="baseline"/>
        </w:rPr>
      </w:pPr>
      <w:r>
        <w:rPr>
          <w:rFonts w:hint="eastAsia" w:ascii="微软雅黑" w:hAnsi="微软雅黑" w:eastAsia="微软雅黑" w:cs="微软雅黑"/>
          <w:b w:val="0"/>
          <w:bCs w:val="0"/>
          <w:sz w:val="18"/>
          <w:szCs w:val="18"/>
          <w:bdr w:val="single" w:color="CCCCCC" w:sz="4" w:space="0"/>
          <w:vertAlign w:val="baseline"/>
        </w:rPr>
        <w:drawing>
          <wp:inline distT="0" distB="0" distL="114300" distR="114300">
            <wp:extent cx="5527675" cy="3286760"/>
            <wp:effectExtent l="0" t="0" r="9525" b="254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5527675" cy="3286760"/>
                    </a:xfrm>
                    <a:prstGeom prst="rect">
                      <a:avLst/>
                    </a:prstGeom>
                    <a:noFill/>
                    <a:ln>
                      <a:noFill/>
                    </a:ln>
                  </pic:spPr>
                </pic:pic>
              </a:graphicData>
            </a:graphic>
          </wp:inline>
        </w:drawing>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60" w:lineRule="exact"/>
        <w:ind w:left="0" w:right="0" w:firstLine="643" w:firstLineChars="200"/>
        <w:jc w:val="both"/>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_GB2312" w:hAnsi="仿宋_GB2312" w:eastAsia="仿宋_GB2312" w:cs="仿宋_GB2312"/>
          <w:b/>
          <w:bCs/>
          <w:color w:val="000000"/>
          <w:kern w:val="2"/>
          <w:sz w:val="32"/>
          <w:szCs w:val="32"/>
          <w:lang w:val="en-US" w:eastAsia="zh-CN" w:bidi="ar-SA"/>
        </w:rPr>
        <w:t>四是严把“三个关口”，做好县政府网站咨询建议办理工作。</w:t>
      </w:r>
      <w:r>
        <w:rPr>
          <w:rFonts w:hint="eastAsia" w:ascii="仿宋" w:hAnsi="仿宋" w:eastAsia="仿宋" w:cs="仿宋"/>
          <w:i w:val="0"/>
          <w:caps w:val="0"/>
          <w:color w:val="333333"/>
          <w:spacing w:val="0"/>
          <w:sz w:val="32"/>
          <w:szCs w:val="32"/>
          <w:shd w:val="clear" w:color="auto" w:fill="FFFFFF"/>
          <w:lang w:val="en-US" w:eastAsia="zh-CN"/>
        </w:rPr>
        <w:t>沂南县将县政府网站咨询建议栏目办理与12345市民服务热线办理相结合，</w:t>
      </w:r>
      <w:r>
        <w:rPr>
          <w:rFonts w:hint="eastAsia" w:ascii="仿宋" w:hAnsi="仿宋" w:eastAsia="仿宋" w:cs="仿宋"/>
          <w:i w:val="0"/>
          <w:caps w:val="0"/>
          <w:color w:val="333333"/>
          <w:spacing w:val="0"/>
          <w:sz w:val="32"/>
          <w:szCs w:val="32"/>
          <w:shd w:val="clear" w:color="auto" w:fill="FFFFFF"/>
        </w:rPr>
        <w:t>建立</w:t>
      </w:r>
      <w:r>
        <w:rPr>
          <w:rFonts w:hint="eastAsia" w:ascii="仿宋" w:hAnsi="仿宋" w:eastAsia="仿宋" w:cs="仿宋"/>
          <w:i w:val="0"/>
          <w:caps w:val="0"/>
          <w:color w:val="333333"/>
          <w:spacing w:val="0"/>
          <w:sz w:val="32"/>
          <w:szCs w:val="32"/>
          <w:shd w:val="clear" w:color="auto" w:fill="FFFFFF"/>
          <w:lang w:val="en-US" w:eastAsia="zh-CN"/>
        </w:rPr>
        <w:t>接收、登记、办理、答复</w:t>
      </w:r>
      <w:r>
        <w:rPr>
          <w:rFonts w:hint="eastAsia" w:ascii="仿宋" w:hAnsi="仿宋" w:eastAsia="仿宋" w:cs="仿宋"/>
          <w:i w:val="0"/>
          <w:caps w:val="0"/>
          <w:color w:val="333333"/>
          <w:spacing w:val="0"/>
          <w:sz w:val="32"/>
          <w:szCs w:val="32"/>
          <w:shd w:val="clear" w:color="auto" w:fill="FFFFFF"/>
        </w:rPr>
        <w:t>制度，完善在线回复工作机制，指定专人每天登录县政府网站，及时查看涉及部门职责范围内的群众投诉、意见和建议。</w:t>
      </w:r>
      <w:r>
        <w:rPr>
          <w:rFonts w:hint="eastAsia" w:ascii="仿宋" w:hAnsi="仿宋" w:eastAsia="仿宋" w:cs="仿宋"/>
          <w:i w:val="0"/>
          <w:caps w:val="0"/>
          <w:color w:val="333333"/>
          <w:spacing w:val="0"/>
          <w:sz w:val="32"/>
          <w:szCs w:val="32"/>
          <w:shd w:val="clear" w:color="auto" w:fill="FFFFFF"/>
          <w:lang w:val="en-US" w:eastAsia="zh-CN"/>
        </w:rPr>
        <w:t>要求</w:t>
      </w:r>
      <w:r>
        <w:rPr>
          <w:rFonts w:hint="eastAsia" w:ascii="仿宋" w:hAnsi="仿宋" w:eastAsia="仿宋" w:cs="仿宋"/>
          <w:i w:val="0"/>
          <w:caps w:val="0"/>
          <w:color w:val="333333"/>
          <w:spacing w:val="0"/>
          <w:sz w:val="32"/>
          <w:szCs w:val="32"/>
          <w:shd w:val="clear" w:color="auto" w:fill="FFFFFF"/>
        </w:rPr>
        <w:t>各单位要在群众投诉、意见和建议发表5日内予以回复，在5日内仍不回复的，</w:t>
      </w:r>
      <w:r>
        <w:rPr>
          <w:rFonts w:hint="eastAsia" w:ascii="仿宋" w:hAnsi="仿宋" w:eastAsia="仿宋" w:cs="仿宋"/>
          <w:i w:val="0"/>
          <w:caps w:val="0"/>
          <w:color w:val="333333"/>
          <w:spacing w:val="0"/>
          <w:sz w:val="32"/>
          <w:szCs w:val="32"/>
          <w:shd w:val="clear" w:color="auto" w:fill="FFFFFF"/>
          <w:lang w:val="en-US" w:eastAsia="zh-CN"/>
        </w:rPr>
        <w:t>下发</w:t>
      </w:r>
      <w:r>
        <w:rPr>
          <w:rFonts w:hint="eastAsia" w:ascii="仿宋" w:hAnsi="仿宋" w:eastAsia="仿宋" w:cs="仿宋"/>
          <w:i w:val="0"/>
          <w:caps w:val="0"/>
          <w:color w:val="333333"/>
          <w:spacing w:val="0"/>
          <w:sz w:val="32"/>
          <w:szCs w:val="32"/>
          <w:shd w:val="clear" w:color="auto" w:fill="FFFFFF"/>
        </w:rPr>
        <w:t>“催办通知单”予以催</w:t>
      </w:r>
      <w:r>
        <w:rPr>
          <w:rFonts w:hint="eastAsia" w:ascii="仿宋" w:hAnsi="仿宋" w:eastAsia="仿宋" w:cs="仿宋"/>
          <w:i w:val="0"/>
          <w:caps w:val="0"/>
          <w:color w:val="333333"/>
          <w:spacing w:val="0"/>
          <w:sz w:val="32"/>
          <w:szCs w:val="32"/>
          <w:shd w:val="clear" w:color="auto" w:fill="FFFFFF"/>
          <w:lang w:val="en-US" w:eastAsia="zh-CN"/>
        </w:rPr>
        <w:t>办督办</w:t>
      </w:r>
      <w:r>
        <w:rPr>
          <w:rFonts w:hint="eastAsia" w:ascii="仿宋" w:hAnsi="仿宋" w:eastAsia="仿宋" w:cs="仿宋"/>
          <w:i w:val="0"/>
          <w:caps w:val="0"/>
          <w:color w:val="333333"/>
          <w:spacing w:val="0"/>
          <w:sz w:val="32"/>
          <w:szCs w:val="32"/>
          <w:shd w:val="clear" w:color="auto" w:fill="FFFFFF"/>
        </w:rPr>
        <w:t>。</w:t>
      </w:r>
      <w:r>
        <w:rPr>
          <w:rFonts w:hint="eastAsia" w:ascii="仿宋" w:hAnsi="仿宋" w:eastAsia="仿宋" w:cs="仿宋"/>
          <w:i w:val="0"/>
          <w:caps w:val="0"/>
          <w:color w:val="333333"/>
          <w:spacing w:val="0"/>
          <w:sz w:val="32"/>
          <w:szCs w:val="32"/>
          <w:shd w:val="clear" w:color="auto" w:fill="FFFFFF"/>
          <w:lang w:val="en-US" w:eastAsia="zh-CN"/>
        </w:rPr>
        <w:t>同时，将</w:t>
      </w:r>
      <w:r>
        <w:rPr>
          <w:rFonts w:hint="eastAsia" w:ascii="仿宋" w:hAnsi="仿宋" w:eastAsia="仿宋" w:cs="仿宋"/>
          <w:i w:val="0"/>
          <w:caps w:val="0"/>
          <w:color w:val="333333"/>
          <w:spacing w:val="0"/>
          <w:sz w:val="32"/>
          <w:szCs w:val="32"/>
          <w:shd w:val="clear" w:color="auto" w:fill="FFFFFF"/>
        </w:rPr>
        <w:t>回复工作</w:t>
      </w:r>
      <w:r>
        <w:rPr>
          <w:rFonts w:hint="eastAsia" w:ascii="仿宋" w:hAnsi="仿宋" w:eastAsia="仿宋" w:cs="仿宋"/>
          <w:i w:val="0"/>
          <w:caps w:val="0"/>
          <w:color w:val="333333"/>
          <w:spacing w:val="0"/>
          <w:sz w:val="32"/>
          <w:szCs w:val="32"/>
          <w:shd w:val="clear" w:color="auto" w:fill="FFFFFF"/>
          <w:lang w:val="en-US" w:eastAsia="zh-CN"/>
        </w:rPr>
        <w:t>情况计入12345政务服务热线考核内容，纳入全县综合发展考核</w:t>
      </w:r>
      <w:r>
        <w:rPr>
          <w:rFonts w:hint="eastAsia" w:ascii="仿宋" w:hAnsi="仿宋" w:eastAsia="仿宋" w:cs="仿宋"/>
          <w:i w:val="0"/>
          <w:caps w:val="0"/>
          <w:color w:val="333333"/>
          <w:spacing w:val="0"/>
          <w:sz w:val="32"/>
          <w:szCs w:val="32"/>
          <w:shd w:val="clear" w:color="auto" w:fill="FFFFFF"/>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05" w:beforeAutospacing="0" w:after="105" w:afterAutospacing="0"/>
        <w:ind w:right="0"/>
        <w:jc w:val="center"/>
        <w:textAlignment w:val="auto"/>
        <w:rPr>
          <w:rFonts w:hint="eastAsia" w:ascii="微软雅黑" w:hAnsi="微软雅黑" w:eastAsia="微软雅黑" w:cs="微软雅黑"/>
          <w:b w:val="0"/>
          <w:bCs w:val="0"/>
          <w:sz w:val="18"/>
          <w:szCs w:val="18"/>
          <w:bdr w:val="single" w:color="CCCCCC" w:sz="4" w:space="0"/>
          <w:vertAlign w:val="baseline"/>
        </w:rPr>
      </w:pPr>
      <w:r>
        <w:drawing>
          <wp:inline distT="0" distB="0" distL="114300" distR="114300">
            <wp:extent cx="5320665" cy="3066415"/>
            <wp:effectExtent l="0" t="0" r="63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320665" cy="30664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(五)本行政机关政府信息公开工作年度报告数据统计需要说明的事项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本年度报告所列数据统计期限从2021年1月1日到2021年12月31日止。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(六)本行政机关认为需要报告的其他事项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(七)其他有关文件专门要求通过政府信息公开工作年度报告予以报告的事项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仿宋_GB2312" w:hAnsi="仿宋_GB2312" w:eastAsia="仿宋_GB2312" w:cs="仿宋_GB2312"/>
          <w:color w:val="000000"/>
          <w:sz w:val="32"/>
          <w:szCs w:val="32"/>
          <w:lang w:val="en-US" w:eastAsia="zh-CN"/>
        </w:rPr>
        <w:t>无。</w:t>
      </w:r>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sz w:val="32"/>
          <w:szCs w:val="32"/>
          <w:lang w:eastAsia="zh-CN"/>
        </w:rPr>
      </w:pPr>
    </w:p>
    <w:sectPr>
      <w:pgSz w:w="11906" w:h="16838"/>
      <w:pgMar w:top="1474" w:right="1474" w:bottom="1440" w:left="147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720"/>
        </w:tabs>
        <w:ind w:left="720" w:hanging="720"/>
      </w:pPr>
    </w:lvl>
    <w:lvl w:ilvl="1" w:tentative="0">
      <w:start w:val="1"/>
      <w:numFmt w:val="decimal"/>
      <w:pStyle w:val="5"/>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73B"/>
    <w:rsid w:val="0000026E"/>
    <w:rsid w:val="00067BB3"/>
    <w:rsid w:val="000706BE"/>
    <w:rsid w:val="001A3A8B"/>
    <w:rsid w:val="002772FE"/>
    <w:rsid w:val="002F5ABB"/>
    <w:rsid w:val="002F673B"/>
    <w:rsid w:val="003643C2"/>
    <w:rsid w:val="00366C66"/>
    <w:rsid w:val="00381D28"/>
    <w:rsid w:val="003C468C"/>
    <w:rsid w:val="003D58B0"/>
    <w:rsid w:val="003E0E88"/>
    <w:rsid w:val="004217CC"/>
    <w:rsid w:val="00421849"/>
    <w:rsid w:val="00434C37"/>
    <w:rsid w:val="004E4D33"/>
    <w:rsid w:val="005112DA"/>
    <w:rsid w:val="00525EF6"/>
    <w:rsid w:val="00570942"/>
    <w:rsid w:val="005968D2"/>
    <w:rsid w:val="005E3AE7"/>
    <w:rsid w:val="006A73E9"/>
    <w:rsid w:val="0075783B"/>
    <w:rsid w:val="0078111C"/>
    <w:rsid w:val="00880008"/>
    <w:rsid w:val="008C6532"/>
    <w:rsid w:val="00916972"/>
    <w:rsid w:val="00950E2E"/>
    <w:rsid w:val="009A4553"/>
    <w:rsid w:val="00A37B25"/>
    <w:rsid w:val="00A713D6"/>
    <w:rsid w:val="00A809DB"/>
    <w:rsid w:val="00AF39AC"/>
    <w:rsid w:val="00B23C0B"/>
    <w:rsid w:val="00B4610C"/>
    <w:rsid w:val="00B6592C"/>
    <w:rsid w:val="00BB4B81"/>
    <w:rsid w:val="00BD175D"/>
    <w:rsid w:val="00BD6052"/>
    <w:rsid w:val="00C24750"/>
    <w:rsid w:val="00C340F9"/>
    <w:rsid w:val="00C52098"/>
    <w:rsid w:val="00CA6189"/>
    <w:rsid w:val="00D037C9"/>
    <w:rsid w:val="00D814C3"/>
    <w:rsid w:val="00E06EAB"/>
    <w:rsid w:val="00E33D60"/>
    <w:rsid w:val="00E803F8"/>
    <w:rsid w:val="00EA34F6"/>
    <w:rsid w:val="00F0162C"/>
    <w:rsid w:val="00FA77FA"/>
    <w:rsid w:val="01181219"/>
    <w:rsid w:val="01381F39"/>
    <w:rsid w:val="015C6E73"/>
    <w:rsid w:val="015F3F75"/>
    <w:rsid w:val="016F283F"/>
    <w:rsid w:val="017D6A18"/>
    <w:rsid w:val="01964B87"/>
    <w:rsid w:val="01AE18C3"/>
    <w:rsid w:val="01B510C5"/>
    <w:rsid w:val="02180566"/>
    <w:rsid w:val="021F7FFA"/>
    <w:rsid w:val="022207B4"/>
    <w:rsid w:val="02351321"/>
    <w:rsid w:val="0235506C"/>
    <w:rsid w:val="023A75E4"/>
    <w:rsid w:val="0247019A"/>
    <w:rsid w:val="0249763E"/>
    <w:rsid w:val="025709E1"/>
    <w:rsid w:val="025734C0"/>
    <w:rsid w:val="02DF39F5"/>
    <w:rsid w:val="02F35C30"/>
    <w:rsid w:val="031422C0"/>
    <w:rsid w:val="03146DE7"/>
    <w:rsid w:val="0319006C"/>
    <w:rsid w:val="03367800"/>
    <w:rsid w:val="034476F9"/>
    <w:rsid w:val="036125FC"/>
    <w:rsid w:val="03A8028B"/>
    <w:rsid w:val="03AE326E"/>
    <w:rsid w:val="03B55793"/>
    <w:rsid w:val="03C84D5D"/>
    <w:rsid w:val="03F05EA8"/>
    <w:rsid w:val="041609D4"/>
    <w:rsid w:val="041B7C65"/>
    <w:rsid w:val="042323C0"/>
    <w:rsid w:val="04274298"/>
    <w:rsid w:val="043A22D7"/>
    <w:rsid w:val="043C1A2C"/>
    <w:rsid w:val="04BA4E72"/>
    <w:rsid w:val="04DA00D2"/>
    <w:rsid w:val="051631B5"/>
    <w:rsid w:val="05253B8F"/>
    <w:rsid w:val="05370F2B"/>
    <w:rsid w:val="054F5218"/>
    <w:rsid w:val="055C354D"/>
    <w:rsid w:val="056D0E7D"/>
    <w:rsid w:val="056E49AE"/>
    <w:rsid w:val="05877EF4"/>
    <w:rsid w:val="05993719"/>
    <w:rsid w:val="05BE4635"/>
    <w:rsid w:val="05E57B84"/>
    <w:rsid w:val="061E5F09"/>
    <w:rsid w:val="0625263C"/>
    <w:rsid w:val="062B1103"/>
    <w:rsid w:val="064508B9"/>
    <w:rsid w:val="064D3D31"/>
    <w:rsid w:val="065F6707"/>
    <w:rsid w:val="06616B6F"/>
    <w:rsid w:val="06643F40"/>
    <w:rsid w:val="066E5483"/>
    <w:rsid w:val="068147FB"/>
    <w:rsid w:val="068D0217"/>
    <w:rsid w:val="069C3292"/>
    <w:rsid w:val="06AC3652"/>
    <w:rsid w:val="06D86197"/>
    <w:rsid w:val="06DA678E"/>
    <w:rsid w:val="06FE517E"/>
    <w:rsid w:val="07061CB4"/>
    <w:rsid w:val="0721611A"/>
    <w:rsid w:val="0726185F"/>
    <w:rsid w:val="072633DE"/>
    <w:rsid w:val="07290340"/>
    <w:rsid w:val="073524A6"/>
    <w:rsid w:val="073873BC"/>
    <w:rsid w:val="07762B7A"/>
    <w:rsid w:val="077A1F3E"/>
    <w:rsid w:val="07893F2F"/>
    <w:rsid w:val="07B24CE8"/>
    <w:rsid w:val="07D050E5"/>
    <w:rsid w:val="07E95B55"/>
    <w:rsid w:val="08006156"/>
    <w:rsid w:val="0805578F"/>
    <w:rsid w:val="08086691"/>
    <w:rsid w:val="08285C67"/>
    <w:rsid w:val="083107BB"/>
    <w:rsid w:val="083269DF"/>
    <w:rsid w:val="08433D4A"/>
    <w:rsid w:val="085A5FF7"/>
    <w:rsid w:val="08BD0334"/>
    <w:rsid w:val="08BD0CCF"/>
    <w:rsid w:val="08E71F2A"/>
    <w:rsid w:val="09075C27"/>
    <w:rsid w:val="091450DF"/>
    <w:rsid w:val="091C32AD"/>
    <w:rsid w:val="09217FE7"/>
    <w:rsid w:val="09262A1E"/>
    <w:rsid w:val="09424AA8"/>
    <w:rsid w:val="0956075A"/>
    <w:rsid w:val="0967211C"/>
    <w:rsid w:val="09815214"/>
    <w:rsid w:val="09971FE9"/>
    <w:rsid w:val="09A830B8"/>
    <w:rsid w:val="09A87296"/>
    <w:rsid w:val="09BB7301"/>
    <w:rsid w:val="09DB43DD"/>
    <w:rsid w:val="0A067AF0"/>
    <w:rsid w:val="0A070A59"/>
    <w:rsid w:val="0A501F82"/>
    <w:rsid w:val="0A7E2CD8"/>
    <w:rsid w:val="0AA72E8B"/>
    <w:rsid w:val="0AB17A25"/>
    <w:rsid w:val="0AB8610C"/>
    <w:rsid w:val="0ADA16FB"/>
    <w:rsid w:val="0B003682"/>
    <w:rsid w:val="0B067A39"/>
    <w:rsid w:val="0B0C7351"/>
    <w:rsid w:val="0B0E30EB"/>
    <w:rsid w:val="0B1A1673"/>
    <w:rsid w:val="0B23477C"/>
    <w:rsid w:val="0B354AFA"/>
    <w:rsid w:val="0B6503E3"/>
    <w:rsid w:val="0B7A6CF9"/>
    <w:rsid w:val="0B8421E8"/>
    <w:rsid w:val="0BD460C1"/>
    <w:rsid w:val="0C02072A"/>
    <w:rsid w:val="0C142961"/>
    <w:rsid w:val="0C394B54"/>
    <w:rsid w:val="0C5B1BC2"/>
    <w:rsid w:val="0C5F7C35"/>
    <w:rsid w:val="0C641062"/>
    <w:rsid w:val="0CB13783"/>
    <w:rsid w:val="0CBC1577"/>
    <w:rsid w:val="0CE554EA"/>
    <w:rsid w:val="0CF258C9"/>
    <w:rsid w:val="0D313678"/>
    <w:rsid w:val="0D4E5DBA"/>
    <w:rsid w:val="0D735183"/>
    <w:rsid w:val="0D7A4530"/>
    <w:rsid w:val="0D7F0500"/>
    <w:rsid w:val="0D9021E3"/>
    <w:rsid w:val="0D9C6374"/>
    <w:rsid w:val="0DA92E5C"/>
    <w:rsid w:val="0DB525F2"/>
    <w:rsid w:val="0DD077A8"/>
    <w:rsid w:val="0DD13814"/>
    <w:rsid w:val="0DEE3327"/>
    <w:rsid w:val="0DF7486F"/>
    <w:rsid w:val="0E0038A6"/>
    <w:rsid w:val="0E06134E"/>
    <w:rsid w:val="0E28094F"/>
    <w:rsid w:val="0E32576D"/>
    <w:rsid w:val="0E527ED9"/>
    <w:rsid w:val="0E6E12BA"/>
    <w:rsid w:val="0E751F6C"/>
    <w:rsid w:val="0E7671B8"/>
    <w:rsid w:val="0E7A43B3"/>
    <w:rsid w:val="0E803A4F"/>
    <w:rsid w:val="0E967FC2"/>
    <w:rsid w:val="0EA0025E"/>
    <w:rsid w:val="0EAE65B2"/>
    <w:rsid w:val="0EC266A4"/>
    <w:rsid w:val="0EC469B4"/>
    <w:rsid w:val="0ED51740"/>
    <w:rsid w:val="0EDA287F"/>
    <w:rsid w:val="0EDA342E"/>
    <w:rsid w:val="0EF9767E"/>
    <w:rsid w:val="0EFA4090"/>
    <w:rsid w:val="0F12231F"/>
    <w:rsid w:val="0F5665F0"/>
    <w:rsid w:val="0F6A3ACC"/>
    <w:rsid w:val="0F763A2F"/>
    <w:rsid w:val="0F843E91"/>
    <w:rsid w:val="0FA6555D"/>
    <w:rsid w:val="0FEA0804"/>
    <w:rsid w:val="0FEC05F7"/>
    <w:rsid w:val="10184354"/>
    <w:rsid w:val="103530C2"/>
    <w:rsid w:val="103C1C62"/>
    <w:rsid w:val="10485029"/>
    <w:rsid w:val="108453DA"/>
    <w:rsid w:val="10986E56"/>
    <w:rsid w:val="10CD7582"/>
    <w:rsid w:val="10D80401"/>
    <w:rsid w:val="10E42FE4"/>
    <w:rsid w:val="10FB0CA7"/>
    <w:rsid w:val="110957B6"/>
    <w:rsid w:val="11197E5B"/>
    <w:rsid w:val="1140175F"/>
    <w:rsid w:val="11421D1E"/>
    <w:rsid w:val="114735E3"/>
    <w:rsid w:val="115523B2"/>
    <w:rsid w:val="116942FB"/>
    <w:rsid w:val="117810F5"/>
    <w:rsid w:val="11892FCC"/>
    <w:rsid w:val="118A665C"/>
    <w:rsid w:val="118E6B5C"/>
    <w:rsid w:val="11C31764"/>
    <w:rsid w:val="11D90DE7"/>
    <w:rsid w:val="11E10FFC"/>
    <w:rsid w:val="11FF7FA8"/>
    <w:rsid w:val="120D02A1"/>
    <w:rsid w:val="12296A3A"/>
    <w:rsid w:val="123258CC"/>
    <w:rsid w:val="12346A6D"/>
    <w:rsid w:val="12490A94"/>
    <w:rsid w:val="124D44D7"/>
    <w:rsid w:val="126A32DB"/>
    <w:rsid w:val="129814DD"/>
    <w:rsid w:val="12A43687"/>
    <w:rsid w:val="12B8090E"/>
    <w:rsid w:val="130C28E1"/>
    <w:rsid w:val="13273B0E"/>
    <w:rsid w:val="13365CA8"/>
    <w:rsid w:val="135013B0"/>
    <w:rsid w:val="135B0050"/>
    <w:rsid w:val="13633EBE"/>
    <w:rsid w:val="136368FC"/>
    <w:rsid w:val="13644665"/>
    <w:rsid w:val="13644D7E"/>
    <w:rsid w:val="13746FC1"/>
    <w:rsid w:val="13BA2F9D"/>
    <w:rsid w:val="13F118C1"/>
    <w:rsid w:val="13F46A51"/>
    <w:rsid w:val="13FA41EA"/>
    <w:rsid w:val="140F30C2"/>
    <w:rsid w:val="1414134D"/>
    <w:rsid w:val="14200287"/>
    <w:rsid w:val="144B6ED5"/>
    <w:rsid w:val="14803C46"/>
    <w:rsid w:val="14AA20B4"/>
    <w:rsid w:val="14AD5701"/>
    <w:rsid w:val="14B133C4"/>
    <w:rsid w:val="14B504C0"/>
    <w:rsid w:val="14C64EF6"/>
    <w:rsid w:val="14D02817"/>
    <w:rsid w:val="14EC09F1"/>
    <w:rsid w:val="14F570DF"/>
    <w:rsid w:val="15155054"/>
    <w:rsid w:val="151B7693"/>
    <w:rsid w:val="155144A2"/>
    <w:rsid w:val="157968E3"/>
    <w:rsid w:val="157E6B0C"/>
    <w:rsid w:val="15804630"/>
    <w:rsid w:val="1591231C"/>
    <w:rsid w:val="15A66BD3"/>
    <w:rsid w:val="15AB2AAB"/>
    <w:rsid w:val="15AC635C"/>
    <w:rsid w:val="15AF4E5B"/>
    <w:rsid w:val="15B32461"/>
    <w:rsid w:val="15C41E44"/>
    <w:rsid w:val="15CF099B"/>
    <w:rsid w:val="160C45D5"/>
    <w:rsid w:val="161664CA"/>
    <w:rsid w:val="1621720C"/>
    <w:rsid w:val="165719AD"/>
    <w:rsid w:val="16756503"/>
    <w:rsid w:val="169A7EB0"/>
    <w:rsid w:val="16CD59A0"/>
    <w:rsid w:val="16EC4273"/>
    <w:rsid w:val="17483C59"/>
    <w:rsid w:val="17610A2D"/>
    <w:rsid w:val="17625CA4"/>
    <w:rsid w:val="1763654B"/>
    <w:rsid w:val="176F488D"/>
    <w:rsid w:val="177812C1"/>
    <w:rsid w:val="178735C4"/>
    <w:rsid w:val="17907BDE"/>
    <w:rsid w:val="17ED5B13"/>
    <w:rsid w:val="181A6914"/>
    <w:rsid w:val="1824277D"/>
    <w:rsid w:val="18252A3E"/>
    <w:rsid w:val="18403C69"/>
    <w:rsid w:val="184B2332"/>
    <w:rsid w:val="18813ACA"/>
    <w:rsid w:val="1882777D"/>
    <w:rsid w:val="1890643B"/>
    <w:rsid w:val="18AA7BEB"/>
    <w:rsid w:val="18B55853"/>
    <w:rsid w:val="18D854BD"/>
    <w:rsid w:val="18DD10FD"/>
    <w:rsid w:val="18F0574A"/>
    <w:rsid w:val="19002D66"/>
    <w:rsid w:val="193B6051"/>
    <w:rsid w:val="19443C4E"/>
    <w:rsid w:val="196F2BE4"/>
    <w:rsid w:val="197C5382"/>
    <w:rsid w:val="197F2BE5"/>
    <w:rsid w:val="19A25DF7"/>
    <w:rsid w:val="1A086467"/>
    <w:rsid w:val="1A1818AE"/>
    <w:rsid w:val="1A5B4A2D"/>
    <w:rsid w:val="1A882C69"/>
    <w:rsid w:val="1A926B95"/>
    <w:rsid w:val="1A9B0C3F"/>
    <w:rsid w:val="1AA23029"/>
    <w:rsid w:val="1ACB27DD"/>
    <w:rsid w:val="1ADC689A"/>
    <w:rsid w:val="1AFC76C7"/>
    <w:rsid w:val="1B017AD2"/>
    <w:rsid w:val="1B16618D"/>
    <w:rsid w:val="1B210BF7"/>
    <w:rsid w:val="1B376723"/>
    <w:rsid w:val="1B3D620B"/>
    <w:rsid w:val="1B795EC1"/>
    <w:rsid w:val="1B7F546D"/>
    <w:rsid w:val="1B953102"/>
    <w:rsid w:val="1B9D3C39"/>
    <w:rsid w:val="1BA45BC2"/>
    <w:rsid w:val="1BA95719"/>
    <w:rsid w:val="1BCA4DEA"/>
    <w:rsid w:val="1BDD4E49"/>
    <w:rsid w:val="1BEA2D97"/>
    <w:rsid w:val="1C1222ED"/>
    <w:rsid w:val="1C1914B7"/>
    <w:rsid w:val="1C4E789A"/>
    <w:rsid w:val="1C6462BF"/>
    <w:rsid w:val="1C735AE3"/>
    <w:rsid w:val="1C831E16"/>
    <w:rsid w:val="1C872324"/>
    <w:rsid w:val="1C9D34F8"/>
    <w:rsid w:val="1CEF3ECE"/>
    <w:rsid w:val="1D046D6C"/>
    <w:rsid w:val="1D077978"/>
    <w:rsid w:val="1D0B757D"/>
    <w:rsid w:val="1D15069A"/>
    <w:rsid w:val="1D2A2C1A"/>
    <w:rsid w:val="1D3C7029"/>
    <w:rsid w:val="1D4123C8"/>
    <w:rsid w:val="1D4F3E30"/>
    <w:rsid w:val="1D6000F1"/>
    <w:rsid w:val="1D6636F1"/>
    <w:rsid w:val="1D733F77"/>
    <w:rsid w:val="1D82027E"/>
    <w:rsid w:val="1D9A7939"/>
    <w:rsid w:val="1DBB0F79"/>
    <w:rsid w:val="1DF02A03"/>
    <w:rsid w:val="1E18610D"/>
    <w:rsid w:val="1E21546B"/>
    <w:rsid w:val="1E2E0F98"/>
    <w:rsid w:val="1E3D2F1A"/>
    <w:rsid w:val="1E427DFC"/>
    <w:rsid w:val="1E4F5A7B"/>
    <w:rsid w:val="1E4F665F"/>
    <w:rsid w:val="1E587D29"/>
    <w:rsid w:val="1E875D2A"/>
    <w:rsid w:val="1EA83B73"/>
    <w:rsid w:val="1ED272FF"/>
    <w:rsid w:val="1ED32208"/>
    <w:rsid w:val="1EEB5192"/>
    <w:rsid w:val="1EF06916"/>
    <w:rsid w:val="1F0B7367"/>
    <w:rsid w:val="1F117B79"/>
    <w:rsid w:val="1F1840BF"/>
    <w:rsid w:val="1F411267"/>
    <w:rsid w:val="1F721A21"/>
    <w:rsid w:val="1F8E5CAB"/>
    <w:rsid w:val="1F9E56B5"/>
    <w:rsid w:val="1FA33C7B"/>
    <w:rsid w:val="1FBD2604"/>
    <w:rsid w:val="1FC47013"/>
    <w:rsid w:val="1FCC4981"/>
    <w:rsid w:val="1FD53D5E"/>
    <w:rsid w:val="2009696E"/>
    <w:rsid w:val="202D3B9A"/>
    <w:rsid w:val="204A2211"/>
    <w:rsid w:val="2054565A"/>
    <w:rsid w:val="20801F1B"/>
    <w:rsid w:val="20852656"/>
    <w:rsid w:val="208C58CE"/>
    <w:rsid w:val="208E4638"/>
    <w:rsid w:val="20F070A1"/>
    <w:rsid w:val="21094E27"/>
    <w:rsid w:val="212B632B"/>
    <w:rsid w:val="21304E60"/>
    <w:rsid w:val="213640C8"/>
    <w:rsid w:val="215D6E56"/>
    <w:rsid w:val="21B71716"/>
    <w:rsid w:val="21D015EB"/>
    <w:rsid w:val="21FD68CF"/>
    <w:rsid w:val="221078E5"/>
    <w:rsid w:val="223279D9"/>
    <w:rsid w:val="2251465E"/>
    <w:rsid w:val="226B144C"/>
    <w:rsid w:val="22A15DF6"/>
    <w:rsid w:val="22A44988"/>
    <w:rsid w:val="22B1460E"/>
    <w:rsid w:val="231809D3"/>
    <w:rsid w:val="232C4FBE"/>
    <w:rsid w:val="232E05D8"/>
    <w:rsid w:val="2332567A"/>
    <w:rsid w:val="23553243"/>
    <w:rsid w:val="23993597"/>
    <w:rsid w:val="23AA24F3"/>
    <w:rsid w:val="23AB6E7C"/>
    <w:rsid w:val="23AE6D9F"/>
    <w:rsid w:val="23CB573E"/>
    <w:rsid w:val="23CE5AD3"/>
    <w:rsid w:val="23D069D4"/>
    <w:rsid w:val="23DA168E"/>
    <w:rsid w:val="24046FB1"/>
    <w:rsid w:val="24072E84"/>
    <w:rsid w:val="24183EFA"/>
    <w:rsid w:val="242328B9"/>
    <w:rsid w:val="243F447A"/>
    <w:rsid w:val="243F4C04"/>
    <w:rsid w:val="24454698"/>
    <w:rsid w:val="24541AAC"/>
    <w:rsid w:val="24777772"/>
    <w:rsid w:val="2479657D"/>
    <w:rsid w:val="248D4C07"/>
    <w:rsid w:val="24986A8C"/>
    <w:rsid w:val="24A60311"/>
    <w:rsid w:val="24D13B7E"/>
    <w:rsid w:val="24E138F3"/>
    <w:rsid w:val="25124316"/>
    <w:rsid w:val="252658D9"/>
    <w:rsid w:val="252C20BA"/>
    <w:rsid w:val="252F0C7E"/>
    <w:rsid w:val="2534637D"/>
    <w:rsid w:val="253C745C"/>
    <w:rsid w:val="25470A75"/>
    <w:rsid w:val="258059A3"/>
    <w:rsid w:val="25C25127"/>
    <w:rsid w:val="25E1345C"/>
    <w:rsid w:val="26137CB5"/>
    <w:rsid w:val="262A01BC"/>
    <w:rsid w:val="266532C6"/>
    <w:rsid w:val="267857DF"/>
    <w:rsid w:val="268553C9"/>
    <w:rsid w:val="269650F6"/>
    <w:rsid w:val="269D6380"/>
    <w:rsid w:val="269E134D"/>
    <w:rsid w:val="26AF77E7"/>
    <w:rsid w:val="26BA4FF7"/>
    <w:rsid w:val="2710549D"/>
    <w:rsid w:val="271C4083"/>
    <w:rsid w:val="274B18EF"/>
    <w:rsid w:val="2753038A"/>
    <w:rsid w:val="275D0E3D"/>
    <w:rsid w:val="278838FC"/>
    <w:rsid w:val="27902D1F"/>
    <w:rsid w:val="27912CE9"/>
    <w:rsid w:val="27A442FE"/>
    <w:rsid w:val="27B04987"/>
    <w:rsid w:val="27BA032D"/>
    <w:rsid w:val="27DB4301"/>
    <w:rsid w:val="281C7A3C"/>
    <w:rsid w:val="281F20B5"/>
    <w:rsid w:val="283042C5"/>
    <w:rsid w:val="2838547F"/>
    <w:rsid w:val="28557B30"/>
    <w:rsid w:val="28725578"/>
    <w:rsid w:val="2880436F"/>
    <w:rsid w:val="288602EB"/>
    <w:rsid w:val="28E92A54"/>
    <w:rsid w:val="28EA67D7"/>
    <w:rsid w:val="291E49C7"/>
    <w:rsid w:val="294361DC"/>
    <w:rsid w:val="295772CD"/>
    <w:rsid w:val="29604D47"/>
    <w:rsid w:val="296B1318"/>
    <w:rsid w:val="298E1408"/>
    <w:rsid w:val="29A739FC"/>
    <w:rsid w:val="29AB160F"/>
    <w:rsid w:val="29C25FAD"/>
    <w:rsid w:val="29C34ECA"/>
    <w:rsid w:val="29C53265"/>
    <w:rsid w:val="29E61F64"/>
    <w:rsid w:val="29F03F5B"/>
    <w:rsid w:val="29F51CA4"/>
    <w:rsid w:val="29FC12F0"/>
    <w:rsid w:val="2A0A5E08"/>
    <w:rsid w:val="2A1D1B0F"/>
    <w:rsid w:val="2A204203"/>
    <w:rsid w:val="2A384DB5"/>
    <w:rsid w:val="2A51479B"/>
    <w:rsid w:val="2A5B00E6"/>
    <w:rsid w:val="2A6D7569"/>
    <w:rsid w:val="2A977A81"/>
    <w:rsid w:val="2A9B48B6"/>
    <w:rsid w:val="2AA86800"/>
    <w:rsid w:val="2ACE6665"/>
    <w:rsid w:val="2ACF7045"/>
    <w:rsid w:val="2AD1112F"/>
    <w:rsid w:val="2AE72D91"/>
    <w:rsid w:val="2AFF03AE"/>
    <w:rsid w:val="2B045F01"/>
    <w:rsid w:val="2B227622"/>
    <w:rsid w:val="2B316C73"/>
    <w:rsid w:val="2B56077D"/>
    <w:rsid w:val="2B7023B4"/>
    <w:rsid w:val="2BB1742D"/>
    <w:rsid w:val="2BBD3A6E"/>
    <w:rsid w:val="2BE54727"/>
    <w:rsid w:val="2BE82AE8"/>
    <w:rsid w:val="2BEB384C"/>
    <w:rsid w:val="2BEF7F55"/>
    <w:rsid w:val="2BFC718F"/>
    <w:rsid w:val="2C465B1E"/>
    <w:rsid w:val="2C50481E"/>
    <w:rsid w:val="2C5C0635"/>
    <w:rsid w:val="2C632570"/>
    <w:rsid w:val="2C6D6804"/>
    <w:rsid w:val="2C7F577D"/>
    <w:rsid w:val="2CC12534"/>
    <w:rsid w:val="2CDB7CBE"/>
    <w:rsid w:val="2CFA0977"/>
    <w:rsid w:val="2D207C8A"/>
    <w:rsid w:val="2D2F0F51"/>
    <w:rsid w:val="2D3450D9"/>
    <w:rsid w:val="2D3F4DF9"/>
    <w:rsid w:val="2D6D15E1"/>
    <w:rsid w:val="2D716C9F"/>
    <w:rsid w:val="2D903D74"/>
    <w:rsid w:val="2DA63333"/>
    <w:rsid w:val="2E033703"/>
    <w:rsid w:val="2E126C44"/>
    <w:rsid w:val="2E230B33"/>
    <w:rsid w:val="2E387FAF"/>
    <w:rsid w:val="2E527345"/>
    <w:rsid w:val="2E717347"/>
    <w:rsid w:val="2E76081F"/>
    <w:rsid w:val="2E8A4CC1"/>
    <w:rsid w:val="2E9077CD"/>
    <w:rsid w:val="2E9A00C3"/>
    <w:rsid w:val="2F07253B"/>
    <w:rsid w:val="2F076F29"/>
    <w:rsid w:val="2F0F2220"/>
    <w:rsid w:val="2F1A3216"/>
    <w:rsid w:val="2F5702EB"/>
    <w:rsid w:val="2F7531A7"/>
    <w:rsid w:val="2FA379D4"/>
    <w:rsid w:val="2FA47793"/>
    <w:rsid w:val="2FAC6679"/>
    <w:rsid w:val="2FB108F9"/>
    <w:rsid w:val="2FF832B1"/>
    <w:rsid w:val="30065456"/>
    <w:rsid w:val="300D30A3"/>
    <w:rsid w:val="30332CD9"/>
    <w:rsid w:val="309673EF"/>
    <w:rsid w:val="309D3CEA"/>
    <w:rsid w:val="30A77058"/>
    <w:rsid w:val="30B6597C"/>
    <w:rsid w:val="30D54702"/>
    <w:rsid w:val="30E26C9D"/>
    <w:rsid w:val="30EF467A"/>
    <w:rsid w:val="312E3BA0"/>
    <w:rsid w:val="316146B1"/>
    <w:rsid w:val="31675DA7"/>
    <w:rsid w:val="316C1BCD"/>
    <w:rsid w:val="316C6D13"/>
    <w:rsid w:val="31727492"/>
    <w:rsid w:val="319D3ED4"/>
    <w:rsid w:val="31B319C6"/>
    <w:rsid w:val="31B63EA4"/>
    <w:rsid w:val="31D16A7B"/>
    <w:rsid w:val="31E14907"/>
    <w:rsid w:val="320629F9"/>
    <w:rsid w:val="32544EEC"/>
    <w:rsid w:val="32651CAA"/>
    <w:rsid w:val="329B0E9B"/>
    <w:rsid w:val="329C12AB"/>
    <w:rsid w:val="32AA2E28"/>
    <w:rsid w:val="32C84432"/>
    <w:rsid w:val="32DF7560"/>
    <w:rsid w:val="32E72CAE"/>
    <w:rsid w:val="3339709F"/>
    <w:rsid w:val="335B627A"/>
    <w:rsid w:val="335D41A8"/>
    <w:rsid w:val="33605C73"/>
    <w:rsid w:val="33721393"/>
    <w:rsid w:val="33870B2D"/>
    <w:rsid w:val="33933144"/>
    <w:rsid w:val="33BE6404"/>
    <w:rsid w:val="33DA063B"/>
    <w:rsid w:val="340A1B12"/>
    <w:rsid w:val="340F2733"/>
    <w:rsid w:val="34236003"/>
    <w:rsid w:val="344A45C5"/>
    <w:rsid w:val="345B4B5C"/>
    <w:rsid w:val="3467141D"/>
    <w:rsid w:val="346F70A9"/>
    <w:rsid w:val="34863188"/>
    <w:rsid w:val="34AA2CA4"/>
    <w:rsid w:val="34B67C7D"/>
    <w:rsid w:val="34C35280"/>
    <w:rsid w:val="34DF3F27"/>
    <w:rsid w:val="351034B1"/>
    <w:rsid w:val="352A69C3"/>
    <w:rsid w:val="354A7B1B"/>
    <w:rsid w:val="359C1650"/>
    <w:rsid w:val="35D42FCF"/>
    <w:rsid w:val="35D95EFE"/>
    <w:rsid w:val="35EA337F"/>
    <w:rsid w:val="361433DA"/>
    <w:rsid w:val="36170F72"/>
    <w:rsid w:val="36176BB8"/>
    <w:rsid w:val="36370B55"/>
    <w:rsid w:val="365D7EA9"/>
    <w:rsid w:val="3674486F"/>
    <w:rsid w:val="36914E2E"/>
    <w:rsid w:val="36994F35"/>
    <w:rsid w:val="369E4A52"/>
    <w:rsid w:val="36AA24D2"/>
    <w:rsid w:val="36B349A1"/>
    <w:rsid w:val="36B3674F"/>
    <w:rsid w:val="36D11227"/>
    <w:rsid w:val="36D95BB7"/>
    <w:rsid w:val="36F33EB0"/>
    <w:rsid w:val="37270316"/>
    <w:rsid w:val="373E0EBA"/>
    <w:rsid w:val="37426FF4"/>
    <w:rsid w:val="37716AC0"/>
    <w:rsid w:val="377C4DA1"/>
    <w:rsid w:val="377E61B4"/>
    <w:rsid w:val="37806DFA"/>
    <w:rsid w:val="37887B17"/>
    <w:rsid w:val="379F01BE"/>
    <w:rsid w:val="37D8630F"/>
    <w:rsid w:val="37EA4CBA"/>
    <w:rsid w:val="3832451E"/>
    <w:rsid w:val="384101C8"/>
    <w:rsid w:val="38465132"/>
    <w:rsid w:val="38487848"/>
    <w:rsid w:val="384D235F"/>
    <w:rsid w:val="38627EEA"/>
    <w:rsid w:val="386534DE"/>
    <w:rsid w:val="387463B2"/>
    <w:rsid w:val="387767FD"/>
    <w:rsid w:val="38797011"/>
    <w:rsid w:val="387D5266"/>
    <w:rsid w:val="388A6133"/>
    <w:rsid w:val="38D3070B"/>
    <w:rsid w:val="38FC292C"/>
    <w:rsid w:val="393A33C2"/>
    <w:rsid w:val="396734C7"/>
    <w:rsid w:val="397C551E"/>
    <w:rsid w:val="399637DB"/>
    <w:rsid w:val="39986827"/>
    <w:rsid w:val="39B72547"/>
    <w:rsid w:val="39C91564"/>
    <w:rsid w:val="39CC0E90"/>
    <w:rsid w:val="39DE1FB9"/>
    <w:rsid w:val="3A1F234D"/>
    <w:rsid w:val="3A20585E"/>
    <w:rsid w:val="3A56041B"/>
    <w:rsid w:val="3A5A67CE"/>
    <w:rsid w:val="3AB76310"/>
    <w:rsid w:val="3ADE3B5B"/>
    <w:rsid w:val="3AF94EC8"/>
    <w:rsid w:val="3B2B72C9"/>
    <w:rsid w:val="3B466CAC"/>
    <w:rsid w:val="3B53443C"/>
    <w:rsid w:val="3B563AB7"/>
    <w:rsid w:val="3B7A002D"/>
    <w:rsid w:val="3B7C3863"/>
    <w:rsid w:val="3B907C57"/>
    <w:rsid w:val="3BC641FC"/>
    <w:rsid w:val="3BF43D4A"/>
    <w:rsid w:val="3C0E2C7C"/>
    <w:rsid w:val="3C142F83"/>
    <w:rsid w:val="3C2154C4"/>
    <w:rsid w:val="3C383C10"/>
    <w:rsid w:val="3C3E5F19"/>
    <w:rsid w:val="3C5230D7"/>
    <w:rsid w:val="3C6848D5"/>
    <w:rsid w:val="3C842B48"/>
    <w:rsid w:val="3CDF453E"/>
    <w:rsid w:val="3CFF51A4"/>
    <w:rsid w:val="3D053A7C"/>
    <w:rsid w:val="3D186A23"/>
    <w:rsid w:val="3D41035E"/>
    <w:rsid w:val="3D4B51DA"/>
    <w:rsid w:val="3D6B5651"/>
    <w:rsid w:val="3D755614"/>
    <w:rsid w:val="3D831282"/>
    <w:rsid w:val="3D846999"/>
    <w:rsid w:val="3D914C0C"/>
    <w:rsid w:val="3DC501B7"/>
    <w:rsid w:val="3DCA4939"/>
    <w:rsid w:val="3DE64066"/>
    <w:rsid w:val="3DE7158A"/>
    <w:rsid w:val="3DF37763"/>
    <w:rsid w:val="3DF77B8A"/>
    <w:rsid w:val="3E15419A"/>
    <w:rsid w:val="3E1F085C"/>
    <w:rsid w:val="3E5F605B"/>
    <w:rsid w:val="3E605DAF"/>
    <w:rsid w:val="3EAF655E"/>
    <w:rsid w:val="3EC02567"/>
    <w:rsid w:val="3EEF6F54"/>
    <w:rsid w:val="3EF6552D"/>
    <w:rsid w:val="3EFD71AD"/>
    <w:rsid w:val="3EFE69D5"/>
    <w:rsid w:val="3F070E23"/>
    <w:rsid w:val="3F10650E"/>
    <w:rsid w:val="3F1955BD"/>
    <w:rsid w:val="3F1C199D"/>
    <w:rsid w:val="3F3556D0"/>
    <w:rsid w:val="3F40723E"/>
    <w:rsid w:val="3F485F51"/>
    <w:rsid w:val="3F56186D"/>
    <w:rsid w:val="3FC0079B"/>
    <w:rsid w:val="3FE57936"/>
    <w:rsid w:val="40151B98"/>
    <w:rsid w:val="40212C71"/>
    <w:rsid w:val="402462AA"/>
    <w:rsid w:val="40272CFA"/>
    <w:rsid w:val="40492CBF"/>
    <w:rsid w:val="405B1B54"/>
    <w:rsid w:val="405B524D"/>
    <w:rsid w:val="4063184A"/>
    <w:rsid w:val="408F584B"/>
    <w:rsid w:val="40924FE2"/>
    <w:rsid w:val="40AB6B87"/>
    <w:rsid w:val="40BA4E02"/>
    <w:rsid w:val="40C6470C"/>
    <w:rsid w:val="40DA3AA5"/>
    <w:rsid w:val="411A33E2"/>
    <w:rsid w:val="415E284B"/>
    <w:rsid w:val="415F723E"/>
    <w:rsid w:val="416961A5"/>
    <w:rsid w:val="416E33E4"/>
    <w:rsid w:val="419C4F1E"/>
    <w:rsid w:val="41C24868"/>
    <w:rsid w:val="41E95781"/>
    <w:rsid w:val="420267DC"/>
    <w:rsid w:val="42125746"/>
    <w:rsid w:val="4213499E"/>
    <w:rsid w:val="422449A5"/>
    <w:rsid w:val="42563727"/>
    <w:rsid w:val="4272389A"/>
    <w:rsid w:val="4279508A"/>
    <w:rsid w:val="42864244"/>
    <w:rsid w:val="42911369"/>
    <w:rsid w:val="42A3179C"/>
    <w:rsid w:val="42BC0267"/>
    <w:rsid w:val="42C06849"/>
    <w:rsid w:val="42C35F6C"/>
    <w:rsid w:val="42F04C1B"/>
    <w:rsid w:val="42F53498"/>
    <w:rsid w:val="431B4D0D"/>
    <w:rsid w:val="432A5FEB"/>
    <w:rsid w:val="432E57BD"/>
    <w:rsid w:val="43405FBA"/>
    <w:rsid w:val="435A6A0E"/>
    <w:rsid w:val="43963680"/>
    <w:rsid w:val="43975D6B"/>
    <w:rsid w:val="43B858A3"/>
    <w:rsid w:val="43B97293"/>
    <w:rsid w:val="43BF1061"/>
    <w:rsid w:val="43F444CA"/>
    <w:rsid w:val="44127FDA"/>
    <w:rsid w:val="4432652A"/>
    <w:rsid w:val="443D1515"/>
    <w:rsid w:val="444E3857"/>
    <w:rsid w:val="44560B64"/>
    <w:rsid w:val="44760A09"/>
    <w:rsid w:val="44760DBC"/>
    <w:rsid w:val="449144EE"/>
    <w:rsid w:val="44926A76"/>
    <w:rsid w:val="449E7276"/>
    <w:rsid w:val="44A808E5"/>
    <w:rsid w:val="44B6565C"/>
    <w:rsid w:val="44F4269D"/>
    <w:rsid w:val="44FF34A7"/>
    <w:rsid w:val="45173E73"/>
    <w:rsid w:val="45232CF2"/>
    <w:rsid w:val="45280308"/>
    <w:rsid w:val="452F2B67"/>
    <w:rsid w:val="4533421E"/>
    <w:rsid w:val="4544659B"/>
    <w:rsid w:val="45631FD8"/>
    <w:rsid w:val="456E5FDA"/>
    <w:rsid w:val="458B08A6"/>
    <w:rsid w:val="45B7408C"/>
    <w:rsid w:val="45DB21F1"/>
    <w:rsid w:val="461B37EE"/>
    <w:rsid w:val="46220354"/>
    <w:rsid w:val="462D5538"/>
    <w:rsid w:val="462E3E13"/>
    <w:rsid w:val="463723A1"/>
    <w:rsid w:val="46385339"/>
    <w:rsid w:val="465D0485"/>
    <w:rsid w:val="465D4FFC"/>
    <w:rsid w:val="466348E2"/>
    <w:rsid w:val="469A3080"/>
    <w:rsid w:val="46DD3374"/>
    <w:rsid w:val="46E525F5"/>
    <w:rsid w:val="46E60F74"/>
    <w:rsid w:val="46FB685B"/>
    <w:rsid w:val="471E2172"/>
    <w:rsid w:val="47533636"/>
    <w:rsid w:val="47593B8A"/>
    <w:rsid w:val="47602F88"/>
    <w:rsid w:val="47630DE5"/>
    <w:rsid w:val="477D7479"/>
    <w:rsid w:val="47890F27"/>
    <w:rsid w:val="478E2728"/>
    <w:rsid w:val="47A35E2C"/>
    <w:rsid w:val="47A61ECF"/>
    <w:rsid w:val="47DB7CB6"/>
    <w:rsid w:val="47EF11D8"/>
    <w:rsid w:val="47FB32D8"/>
    <w:rsid w:val="47FD5326"/>
    <w:rsid w:val="48140110"/>
    <w:rsid w:val="48327DDA"/>
    <w:rsid w:val="484C5A5A"/>
    <w:rsid w:val="485215AB"/>
    <w:rsid w:val="486A082C"/>
    <w:rsid w:val="486D24D6"/>
    <w:rsid w:val="488E4926"/>
    <w:rsid w:val="48C4652A"/>
    <w:rsid w:val="48CF1321"/>
    <w:rsid w:val="48DA3B42"/>
    <w:rsid w:val="48E46FF0"/>
    <w:rsid w:val="48F403B1"/>
    <w:rsid w:val="49085D9B"/>
    <w:rsid w:val="491E4677"/>
    <w:rsid w:val="4925321F"/>
    <w:rsid w:val="49263F68"/>
    <w:rsid w:val="49355936"/>
    <w:rsid w:val="49502FA3"/>
    <w:rsid w:val="49A16717"/>
    <w:rsid w:val="49AD15D2"/>
    <w:rsid w:val="49BE2FC3"/>
    <w:rsid w:val="49C01457"/>
    <w:rsid w:val="49C7052D"/>
    <w:rsid w:val="49D13E1A"/>
    <w:rsid w:val="49F0251E"/>
    <w:rsid w:val="49FA7A98"/>
    <w:rsid w:val="4A164F1D"/>
    <w:rsid w:val="4A244368"/>
    <w:rsid w:val="4A2B04D5"/>
    <w:rsid w:val="4A3E55B7"/>
    <w:rsid w:val="4A534079"/>
    <w:rsid w:val="4A5A0FA4"/>
    <w:rsid w:val="4A6B6D03"/>
    <w:rsid w:val="4A78503B"/>
    <w:rsid w:val="4A7F6531"/>
    <w:rsid w:val="4AC17D7C"/>
    <w:rsid w:val="4AC35D4E"/>
    <w:rsid w:val="4AC51FAE"/>
    <w:rsid w:val="4AD54D86"/>
    <w:rsid w:val="4ADF590D"/>
    <w:rsid w:val="4AED200A"/>
    <w:rsid w:val="4AEE5FB6"/>
    <w:rsid w:val="4AEF701F"/>
    <w:rsid w:val="4AFB73E5"/>
    <w:rsid w:val="4AFE0BE1"/>
    <w:rsid w:val="4B276E5C"/>
    <w:rsid w:val="4B4031FC"/>
    <w:rsid w:val="4B45058C"/>
    <w:rsid w:val="4B4D0C9C"/>
    <w:rsid w:val="4B5055EE"/>
    <w:rsid w:val="4B6C1555"/>
    <w:rsid w:val="4BA93423"/>
    <w:rsid w:val="4BD439C5"/>
    <w:rsid w:val="4BDA72EA"/>
    <w:rsid w:val="4BEC4377"/>
    <w:rsid w:val="4C1143D6"/>
    <w:rsid w:val="4C481290"/>
    <w:rsid w:val="4C596A69"/>
    <w:rsid w:val="4C5C5E13"/>
    <w:rsid w:val="4C5D5D47"/>
    <w:rsid w:val="4C633ED7"/>
    <w:rsid w:val="4C675BBA"/>
    <w:rsid w:val="4C6A1041"/>
    <w:rsid w:val="4C7861E4"/>
    <w:rsid w:val="4CBE7323"/>
    <w:rsid w:val="4CC7458A"/>
    <w:rsid w:val="4CDF010F"/>
    <w:rsid w:val="4D224C8A"/>
    <w:rsid w:val="4D3161C8"/>
    <w:rsid w:val="4D43602B"/>
    <w:rsid w:val="4D4846BE"/>
    <w:rsid w:val="4D610FCA"/>
    <w:rsid w:val="4D7B349E"/>
    <w:rsid w:val="4D8C560E"/>
    <w:rsid w:val="4DC2003A"/>
    <w:rsid w:val="4DC91572"/>
    <w:rsid w:val="4DD144F2"/>
    <w:rsid w:val="4DD95B3A"/>
    <w:rsid w:val="4DF72BC5"/>
    <w:rsid w:val="4E16683F"/>
    <w:rsid w:val="4E1E109B"/>
    <w:rsid w:val="4E1E2E37"/>
    <w:rsid w:val="4E2E1E6C"/>
    <w:rsid w:val="4E7E71EB"/>
    <w:rsid w:val="4E904D6F"/>
    <w:rsid w:val="4E9F1394"/>
    <w:rsid w:val="4ED41501"/>
    <w:rsid w:val="4ED47EC7"/>
    <w:rsid w:val="4EE91FD7"/>
    <w:rsid w:val="4F1C64CB"/>
    <w:rsid w:val="4F2744B3"/>
    <w:rsid w:val="4F452359"/>
    <w:rsid w:val="4F4715FA"/>
    <w:rsid w:val="4F8E31A5"/>
    <w:rsid w:val="4F943081"/>
    <w:rsid w:val="4F9E6347"/>
    <w:rsid w:val="4FB16364"/>
    <w:rsid w:val="50006DE3"/>
    <w:rsid w:val="500100D3"/>
    <w:rsid w:val="50176561"/>
    <w:rsid w:val="50491E80"/>
    <w:rsid w:val="505763CF"/>
    <w:rsid w:val="505E0A04"/>
    <w:rsid w:val="509E2C90"/>
    <w:rsid w:val="50B353F2"/>
    <w:rsid w:val="50C8299F"/>
    <w:rsid w:val="50CB5FAE"/>
    <w:rsid w:val="510154CE"/>
    <w:rsid w:val="51107201"/>
    <w:rsid w:val="51207DEF"/>
    <w:rsid w:val="51271DBC"/>
    <w:rsid w:val="512B6148"/>
    <w:rsid w:val="51635E96"/>
    <w:rsid w:val="51705511"/>
    <w:rsid w:val="51856B29"/>
    <w:rsid w:val="5195255E"/>
    <w:rsid w:val="51A26BD4"/>
    <w:rsid w:val="51C54618"/>
    <w:rsid w:val="51CE6BC7"/>
    <w:rsid w:val="51E72241"/>
    <w:rsid w:val="51E7796A"/>
    <w:rsid w:val="51F20F1A"/>
    <w:rsid w:val="52133E2D"/>
    <w:rsid w:val="521E5054"/>
    <w:rsid w:val="52317010"/>
    <w:rsid w:val="52352BC9"/>
    <w:rsid w:val="52466C2B"/>
    <w:rsid w:val="524B6694"/>
    <w:rsid w:val="52527E56"/>
    <w:rsid w:val="525E1342"/>
    <w:rsid w:val="52814DEF"/>
    <w:rsid w:val="528C076E"/>
    <w:rsid w:val="52A260BD"/>
    <w:rsid w:val="52A702AA"/>
    <w:rsid w:val="52BA2D23"/>
    <w:rsid w:val="52D51A9A"/>
    <w:rsid w:val="52DE677E"/>
    <w:rsid w:val="534B65A5"/>
    <w:rsid w:val="53637E4F"/>
    <w:rsid w:val="536B566C"/>
    <w:rsid w:val="5383063C"/>
    <w:rsid w:val="53832190"/>
    <w:rsid w:val="539A419C"/>
    <w:rsid w:val="53AB6CD4"/>
    <w:rsid w:val="53B4094B"/>
    <w:rsid w:val="53E34597"/>
    <w:rsid w:val="53F24A84"/>
    <w:rsid w:val="53F53BAC"/>
    <w:rsid w:val="53FC7ACB"/>
    <w:rsid w:val="5409375D"/>
    <w:rsid w:val="542E0664"/>
    <w:rsid w:val="543535CD"/>
    <w:rsid w:val="54430C2B"/>
    <w:rsid w:val="547C47BD"/>
    <w:rsid w:val="54A62455"/>
    <w:rsid w:val="54B654F4"/>
    <w:rsid w:val="54B769F0"/>
    <w:rsid w:val="54BF007F"/>
    <w:rsid w:val="54CD3059"/>
    <w:rsid w:val="54CF69F2"/>
    <w:rsid w:val="54D53B9E"/>
    <w:rsid w:val="54E02361"/>
    <w:rsid w:val="55206A4F"/>
    <w:rsid w:val="553A7580"/>
    <w:rsid w:val="554C1120"/>
    <w:rsid w:val="55613CF6"/>
    <w:rsid w:val="557E563E"/>
    <w:rsid w:val="558652FA"/>
    <w:rsid w:val="558B1F4C"/>
    <w:rsid w:val="55A25483"/>
    <w:rsid w:val="55A67D46"/>
    <w:rsid w:val="55A771B1"/>
    <w:rsid w:val="55B4538F"/>
    <w:rsid w:val="55CB4485"/>
    <w:rsid w:val="55CD6F95"/>
    <w:rsid w:val="55E0078B"/>
    <w:rsid w:val="562C5E66"/>
    <w:rsid w:val="563C4F4E"/>
    <w:rsid w:val="5676720F"/>
    <w:rsid w:val="56AC7942"/>
    <w:rsid w:val="56B876C6"/>
    <w:rsid w:val="56E30533"/>
    <w:rsid w:val="56E74CD0"/>
    <w:rsid w:val="56EF00AD"/>
    <w:rsid w:val="56FC333D"/>
    <w:rsid w:val="57280EC4"/>
    <w:rsid w:val="572D5C52"/>
    <w:rsid w:val="57335934"/>
    <w:rsid w:val="574A26EB"/>
    <w:rsid w:val="575D586F"/>
    <w:rsid w:val="57863FBA"/>
    <w:rsid w:val="57946A61"/>
    <w:rsid w:val="57DE6F4C"/>
    <w:rsid w:val="57FB5CBF"/>
    <w:rsid w:val="57FC7C1C"/>
    <w:rsid w:val="581F4936"/>
    <w:rsid w:val="58537425"/>
    <w:rsid w:val="585B059D"/>
    <w:rsid w:val="585D05F1"/>
    <w:rsid w:val="587D0C89"/>
    <w:rsid w:val="588951D5"/>
    <w:rsid w:val="588A37F0"/>
    <w:rsid w:val="589B429E"/>
    <w:rsid w:val="589C118D"/>
    <w:rsid w:val="58AE4223"/>
    <w:rsid w:val="58E87F93"/>
    <w:rsid w:val="58F216D3"/>
    <w:rsid w:val="58F23A76"/>
    <w:rsid w:val="59010835"/>
    <w:rsid w:val="59036077"/>
    <w:rsid w:val="59093FD8"/>
    <w:rsid w:val="591D6C41"/>
    <w:rsid w:val="59583AC0"/>
    <w:rsid w:val="598044CA"/>
    <w:rsid w:val="598A70E9"/>
    <w:rsid w:val="598B6E48"/>
    <w:rsid w:val="598C360A"/>
    <w:rsid w:val="59C426F2"/>
    <w:rsid w:val="59EC55BD"/>
    <w:rsid w:val="59FF1F75"/>
    <w:rsid w:val="5A421A14"/>
    <w:rsid w:val="5A470AE8"/>
    <w:rsid w:val="5A4A5193"/>
    <w:rsid w:val="5A560F22"/>
    <w:rsid w:val="5A6C7D2E"/>
    <w:rsid w:val="5A7538BE"/>
    <w:rsid w:val="5A7B112E"/>
    <w:rsid w:val="5AB80983"/>
    <w:rsid w:val="5AC37555"/>
    <w:rsid w:val="5AF30D42"/>
    <w:rsid w:val="5AF92D35"/>
    <w:rsid w:val="5B0D111E"/>
    <w:rsid w:val="5B2E3A0B"/>
    <w:rsid w:val="5B667984"/>
    <w:rsid w:val="5B7624EA"/>
    <w:rsid w:val="5B862A51"/>
    <w:rsid w:val="5B8B6590"/>
    <w:rsid w:val="5B995664"/>
    <w:rsid w:val="5BA4191E"/>
    <w:rsid w:val="5BA85A67"/>
    <w:rsid w:val="5BAE3FD2"/>
    <w:rsid w:val="5BC049D4"/>
    <w:rsid w:val="5BCF2373"/>
    <w:rsid w:val="5BE325DD"/>
    <w:rsid w:val="5C0834A2"/>
    <w:rsid w:val="5C71298A"/>
    <w:rsid w:val="5C82255E"/>
    <w:rsid w:val="5C947A98"/>
    <w:rsid w:val="5CC300BC"/>
    <w:rsid w:val="5CD30874"/>
    <w:rsid w:val="5CDD7AEB"/>
    <w:rsid w:val="5CF7393C"/>
    <w:rsid w:val="5CFF005F"/>
    <w:rsid w:val="5D08575C"/>
    <w:rsid w:val="5D0B1DE5"/>
    <w:rsid w:val="5D194F1F"/>
    <w:rsid w:val="5D366863"/>
    <w:rsid w:val="5D4A015E"/>
    <w:rsid w:val="5D5D5842"/>
    <w:rsid w:val="5D767F4A"/>
    <w:rsid w:val="5D8503BA"/>
    <w:rsid w:val="5DA3771A"/>
    <w:rsid w:val="5DA407BD"/>
    <w:rsid w:val="5DB96521"/>
    <w:rsid w:val="5DD230AF"/>
    <w:rsid w:val="5DF634CD"/>
    <w:rsid w:val="5DF9731E"/>
    <w:rsid w:val="5E077362"/>
    <w:rsid w:val="5E153F75"/>
    <w:rsid w:val="5E160F94"/>
    <w:rsid w:val="5E194732"/>
    <w:rsid w:val="5E2231F3"/>
    <w:rsid w:val="5E2B7A0C"/>
    <w:rsid w:val="5E4C2E61"/>
    <w:rsid w:val="5E5E55E6"/>
    <w:rsid w:val="5E7F7ACF"/>
    <w:rsid w:val="5E8C517F"/>
    <w:rsid w:val="5EA34DEE"/>
    <w:rsid w:val="5EA563FA"/>
    <w:rsid w:val="5EB75294"/>
    <w:rsid w:val="5ECA6483"/>
    <w:rsid w:val="5EDA67C0"/>
    <w:rsid w:val="5EE237C6"/>
    <w:rsid w:val="5EED19A5"/>
    <w:rsid w:val="5F3C6574"/>
    <w:rsid w:val="5F466B0A"/>
    <w:rsid w:val="5F4D5B10"/>
    <w:rsid w:val="5F7F145A"/>
    <w:rsid w:val="5F94769E"/>
    <w:rsid w:val="5FC733C5"/>
    <w:rsid w:val="5FCD4515"/>
    <w:rsid w:val="5FE04BFA"/>
    <w:rsid w:val="5FE71FB8"/>
    <w:rsid w:val="5FFA06EA"/>
    <w:rsid w:val="5FFC391E"/>
    <w:rsid w:val="601E3BC9"/>
    <w:rsid w:val="602B42B4"/>
    <w:rsid w:val="604C4E84"/>
    <w:rsid w:val="606C55B7"/>
    <w:rsid w:val="606D5C8E"/>
    <w:rsid w:val="606E6F34"/>
    <w:rsid w:val="60AE0DE2"/>
    <w:rsid w:val="60B046CD"/>
    <w:rsid w:val="60E1462D"/>
    <w:rsid w:val="61017955"/>
    <w:rsid w:val="61121956"/>
    <w:rsid w:val="61191105"/>
    <w:rsid w:val="611A68F9"/>
    <w:rsid w:val="61476EDC"/>
    <w:rsid w:val="61556385"/>
    <w:rsid w:val="617A41D7"/>
    <w:rsid w:val="618D17DC"/>
    <w:rsid w:val="619F599E"/>
    <w:rsid w:val="61BD4B86"/>
    <w:rsid w:val="61D27745"/>
    <w:rsid w:val="624D4C2F"/>
    <w:rsid w:val="62640C6F"/>
    <w:rsid w:val="626F3A90"/>
    <w:rsid w:val="627C3D85"/>
    <w:rsid w:val="62B96D62"/>
    <w:rsid w:val="62CB7EAD"/>
    <w:rsid w:val="630E15D8"/>
    <w:rsid w:val="6338758C"/>
    <w:rsid w:val="63512CC8"/>
    <w:rsid w:val="63601D5D"/>
    <w:rsid w:val="63B535CF"/>
    <w:rsid w:val="63C83B06"/>
    <w:rsid w:val="63EB0B76"/>
    <w:rsid w:val="640B7643"/>
    <w:rsid w:val="641277FC"/>
    <w:rsid w:val="642E1DB2"/>
    <w:rsid w:val="644C12B4"/>
    <w:rsid w:val="64B01511"/>
    <w:rsid w:val="64CA7AA2"/>
    <w:rsid w:val="64E37F23"/>
    <w:rsid w:val="64F46001"/>
    <w:rsid w:val="651F5F35"/>
    <w:rsid w:val="652B5968"/>
    <w:rsid w:val="65334E6E"/>
    <w:rsid w:val="653643BA"/>
    <w:rsid w:val="65775B4F"/>
    <w:rsid w:val="65783742"/>
    <w:rsid w:val="658A0058"/>
    <w:rsid w:val="65974878"/>
    <w:rsid w:val="65C71020"/>
    <w:rsid w:val="65EA1053"/>
    <w:rsid w:val="65ED3C34"/>
    <w:rsid w:val="66257B1A"/>
    <w:rsid w:val="665E09E7"/>
    <w:rsid w:val="6669505F"/>
    <w:rsid w:val="667466F5"/>
    <w:rsid w:val="66760BB4"/>
    <w:rsid w:val="667D5F7A"/>
    <w:rsid w:val="667E093D"/>
    <w:rsid w:val="6683110D"/>
    <w:rsid w:val="66E66301"/>
    <w:rsid w:val="67072840"/>
    <w:rsid w:val="670F6CE9"/>
    <w:rsid w:val="67242C3F"/>
    <w:rsid w:val="67243356"/>
    <w:rsid w:val="67265566"/>
    <w:rsid w:val="674635FF"/>
    <w:rsid w:val="67543AD8"/>
    <w:rsid w:val="676A46E0"/>
    <w:rsid w:val="67751186"/>
    <w:rsid w:val="67837919"/>
    <w:rsid w:val="67876B37"/>
    <w:rsid w:val="67A21038"/>
    <w:rsid w:val="67AB7AE8"/>
    <w:rsid w:val="67C93D26"/>
    <w:rsid w:val="68190FE8"/>
    <w:rsid w:val="681F2251"/>
    <w:rsid w:val="68394457"/>
    <w:rsid w:val="683C3E55"/>
    <w:rsid w:val="68454B64"/>
    <w:rsid w:val="68561036"/>
    <w:rsid w:val="685E2504"/>
    <w:rsid w:val="68645905"/>
    <w:rsid w:val="68A70E99"/>
    <w:rsid w:val="68BB30BE"/>
    <w:rsid w:val="68DB273A"/>
    <w:rsid w:val="68DE2E85"/>
    <w:rsid w:val="68E45906"/>
    <w:rsid w:val="690E3B22"/>
    <w:rsid w:val="6918748E"/>
    <w:rsid w:val="691C1682"/>
    <w:rsid w:val="691D0AD6"/>
    <w:rsid w:val="692357F7"/>
    <w:rsid w:val="692C1E96"/>
    <w:rsid w:val="692E097B"/>
    <w:rsid w:val="693A20E0"/>
    <w:rsid w:val="695176E0"/>
    <w:rsid w:val="695C6008"/>
    <w:rsid w:val="69BA5DE8"/>
    <w:rsid w:val="69CC0D6F"/>
    <w:rsid w:val="69D20A26"/>
    <w:rsid w:val="69EB2E2E"/>
    <w:rsid w:val="69F15A6A"/>
    <w:rsid w:val="69F8687A"/>
    <w:rsid w:val="6A2C1D99"/>
    <w:rsid w:val="6A386E04"/>
    <w:rsid w:val="6A58337B"/>
    <w:rsid w:val="6A6741EA"/>
    <w:rsid w:val="6A9D2AA1"/>
    <w:rsid w:val="6AA839DE"/>
    <w:rsid w:val="6AAE410D"/>
    <w:rsid w:val="6ACB1BF6"/>
    <w:rsid w:val="6AEA09CE"/>
    <w:rsid w:val="6AF02F04"/>
    <w:rsid w:val="6AF611D8"/>
    <w:rsid w:val="6B0031A2"/>
    <w:rsid w:val="6B2018FE"/>
    <w:rsid w:val="6B455983"/>
    <w:rsid w:val="6B5A2FBD"/>
    <w:rsid w:val="6B601CFA"/>
    <w:rsid w:val="6B60242B"/>
    <w:rsid w:val="6B6271E5"/>
    <w:rsid w:val="6B6657CD"/>
    <w:rsid w:val="6B721A2E"/>
    <w:rsid w:val="6B954837"/>
    <w:rsid w:val="6B9E7788"/>
    <w:rsid w:val="6BC8789D"/>
    <w:rsid w:val="6BE446D9"/>
    <w:rsid w:val="6BEB4305"/>
    <w:rsid w:val="6BFA2DD0"/>
    <w:rsid w:val="6BFD3347"/>
    <w:rsid w:val="6C083433"/>
    <w:rsid w:val="6C0A15F6"/>
    <w:rsid w:val="6C367CB0"/>
    <w:rsid w:val="6C5E316E"/>
    <w:rsid w:val="6C607916"/>
    <w:rsid w:val="6C6806A2"/>
    <w:rsid w:val="6CAB21A4"/>
    <w:rsid w:val="6CBC5656"/>
    <w:rsid w:val="6CDB5943"/>
    <w:rsid w:val="6CF065A7"/>
    <w:rsid w:val="6D1B2696"/>
    <w:rsid w:val="6D2E6E83"/>
    <w:rsid w:val="6D355617"/>
    <w:rsid w:val="6D9914F3"/>
    <w:rsid w:val="6D9B4FAE"/>
    <w:rsid w:val="6DF271C0"/>
    <w:rsid w:val="6DF354B7"/>
    <w:rsid w:val="6DF606F4"/>
    <w:rsid w:val="6E206A7C"/>
    <w:rsid w:val="6E377803"/>
    <w:rsid w:val="6E6C6C08"/>
    <w:rsid w:val="6E92169B"/>
    <w:rsid w:val="6EA477CA"/>
    <w:rsid w:val="6EC5750B"/>
    <w:rsid w:val="6ED147D2"/>
    <w:rsid w:val="6ED41238"/>
    <w:rsid w:val="6ED7384A"/>
    <w:rsid w:val="6EE2062F"/>
    <w:rsid w:val="6EF92166"/>
    <w:rsid w:val="6F0E5AEF"/>
    <w:rsid w:val="6F217808"/>
    <w:rsid w:val="6F221EF1"/>
    <w:rsid w:val="6F2370E6"/>
    <w:rsid w:val="6F2B26EC"/>
    <w:rsid w:val="6FA66D05"/>
    <w:rsid w:val="6FBD1B29"/>
    <w:rsid w:val="6FC204D4"/>
    <w:rsid w:val="6FD44F83"/>
    <w:rsid w:val="6FE70C3C"/>
    <w:rsid w:val="6FF90D7E"/>
    <w:rsid w:val="702116C7"/>
    <w:rsid w:val="7027160D"/>
    <w:rsid w:val="70910BA8"/>
    <w:rsid w:val="70B3384D"/>
    <w:rsid w:val="70B35B40"/>
    <w:rsid w:val="70C81823"/>
    <w:rsid w:val="70FC2BC9"/>
    <w:rsid w:val="71144174"/>
    <w:rsid w:val="711F0493"/>
    <w:rsid w:val="715F2CBC"/>
    <w:rsid w:val="71653282"/>
    <w:rsid w:val="71902259"/>
    <w:rsid w:val="71962396"/>
    <w:rsid w:val="71B0763F"/>
    <w:rsid w:val="7203455F"/>
    <w:rsid w:val="721730DB"/>
    <w:rsid w:val="7218228D"/>
    <w:rsid w:val="72253C9E"/>
    <w:rsid w:val="72346021"/>
    <w:rsid w:val="723A0764"/>
    <w:rsid w:val="723A1EC2"/>
    <w:rsid w:val="723C1767"/>
    <w:rsid w:val="724B3129"/>
    <w:rsid w:val="7253099F"/>
    <w:rsid w:val="72591FD0"/>
    <w:rsid w:val="72730E2E"/>
    <w:rsid w:val="728806B6"/>
    <w:rsid w:val="72966B21"/>
    <w:rsid w:val="72983A70"/>
    <w:rsid w:val="72A46806"/>
    <w:rsid w:val="72D15C1C"/>
    <w:rsid w:val="72DF4EDC"/>
    <w:rsid w:val="72E911F1"/>
    <w:rsid w:val="72E96A79"/>
    <w:rsid w:val="72FC5222"/>
    <w:rsid w:val="73034AFF"/>
    <w:rsid w:val="730A1C3C"/>
    <w:rsid w:val="731439D8"/>
    <w:rsid w:val="73402FCA"/>
    <w:rsid w:val="73740B6D"/>
    <w:rsid w:val="7380284A"/>
    <w:rsid w:val="7383090E"/>
    <w:rsid w:val="73CE64C0"/>
    <w:rsid w:val="73E55492"/>
    <w:rsid w:val="73EF06EE"/>
    <w:rsid w:val="73F86870"/>
    <w:rsid w:val="74232A45"/>
    <w:rsid w:val="742566CE"/>
    <w:rsid w:val="74290A26"/>
    <w:rsid w:val="743A5B3F"/>
    <w:rsid w:val="744A35D1"/>
    <w:rsid w:val="74595BF2"/>
    <w:rsid w:val="746C0D63"/>
    <w:rsid w:val="74736975"/>
    <w:rsid w:val="749B18EB"/>
    <w:rsid w:val="74B12A9C"/>
    <w:rsid w:val="750A4150"/>
    <w:rsid w:val="751B0FE9"/>
    <w:rsid w:val="75440040"/>
    <w:rsid w:val="757C46C4"/>
    <w:rsid w:val="757D35BD"/>
    <w:rsid w:val="758E2A71"/>
    <w:rsid w:val="75A31960"/>
    <w:rsid w:val="75B50E95"/>
    <w:rsid w:val="75E654F2"/>
    <w:rsid w:val="75F220E9"/>
    <w:rsid w:val="76026F95"/>
    <w:rsid w:val="76064A86"/>
    <w:rsid w:val="761738FD"/>
    <w:rsid w:val="76241D8B"/>
    <w:rsid w:val="762434BA"/>
    <w:rsid w:val="762C7805"/>
    <w:rsid w:val="763407C8"/>
    <w:rsid w:val="76342283"/>
    <w:rsid w:val="76365DE4"/>
    <w:rsid w:val="764D2248"/>
    <w:rsid w:val="76760F90"/>
    <w:rsid w:val="768A0CCA"/>
    <w:rsid w:val="76970347"/>
    <w:rsid w:val="769D5A9A"/>
    <w:rsid w:val="76A803C5"/>
    <w:rsid w:val="76B211CF"/>
    <w:rsid w:val="76B408C7"/>
    <w:rsid w:val="76EF7ABB"/>
    <w:rsid w:val="76F301F5"/>
    <w:rsid w:val="772B11EF"/>
    <w:rsid w:val="77584A0F"/>
    <w:rsid w:val="77753B21"/>
    <w:rsid w:val="77807115"/>
    <w:rsid w:val="77CD3D32"/>
    <w:rsid w:val="77DD7390"/>
    <w:rsid w:val="77E537F1"/>
    <w:rsid w:val="77FA2F39"/>
    <w:rsid w:val="781858F5"/>
    <w:rsid w:val="78500261"/>
    <w:rsid w:val="786741FD"/>
    <w:rsid w:val="786D4B05"/>
    <w:rsid w:val="786D7037"/>
    <w:rsid w:val="787768B6"/>
    <w:rsid w:val="78A92571"/>
    <w:rsid w:val="78A976E1"/>
    <w:rsid w:val="78DF75F7"/>
    <w:rsid w:val="78E84C83"/>
    <w:rsid w:val="78F24BE8"/>
    <w:rsid w:val="791442C6"/>
    <w:rsid w:val="7940704C"/>
    <w:rsid w:val="79411884"/>
    <w:rsid w:val="797356AE"/>
    <w:rsid w:val="797413F0"/>
    <w:rsid w:val="79801A7B"/>
    <w:rsid w:val="79A742C4"/>
    <w:rsid w:val="79B91F80"/>
    <w:rsid w:val="79D57D57"/>
    <w:rsid w:val="79DC3059"/>
    <w:rsid w:val="79E10609"/>
    <w:rsid w:val="79E453D4"/>
    <w:rsid w:val="7A2E3108"/>
    <w:rsid w:val="7A520075"/>
    <w:rsid w:val="7A665165"/>
    <w:rsid w:val="7AB013E8"/>
    <w:rsid w:val="7AD84DD7"/>
    <w:rsid w:val="7AE52B91"/>
    <w:rsid w:val="7AEC60A3"/>
    <w:rsid w:val="7AF7268D"/>
    <w:rsid w:val="7AFD06C7"/>
    <w:rsid w:val="7B164557"/>
    <w:rsid w:val="7B326A2E"/>
    <w:rsid w:val="7B430CF1"/>
    <w:rsid w:val="7B471A57"/>
    <w:rsid w:val="7B5025EF"/>
    <w:rsid w:val="7BD069D6"/>
    <w:rsid w:val="7BE40418"/>
    <w:rsid w:val="7C00243A"/>
    <w:rsid w:val="7C21038F"/>
    <w:rsid w:val="7C346239"/>
    <w:rsid w:val="7C3A6540"/>
    <w:rsid w:val="7C3A6597"/>
    <w:rsid w:val="7C4A5295"/>
    <w:rsid w:val="7C6569EB"/>
    <w:rsid w:val="7C70348F"/>
    <w:rsid w:val="7C7C35BF"/>
    <w:rsid w:val="7C8615A3"/>
    <w:rsid w:val="7C9E6BA9"/>
    <w:rsid w:val="7CAF2AE1"/>
    <w:rsid w:val="7CB52BD7"/>
    <w:rsid w:val="7CB71688"/>
    <w:rsid w:val="7CE73BE2"/>
    <w:rsid w:val="7D4155B4"/>
    <w:rsid w:val="7D663C95"/>
    <w:rsid w:val="7D763AE4"/>
    <w:rsid w:val="7D7E49B8"/>
    <w:rsid w:val="7D8559CB"/>
    <w:rsid w:val="7DA34158"/>
    <w:rsid w:val="7DA6466D"/>
    <w:rsid w:val="7DEC7044"/>
    <w:rsid w:val="7DFA40E2"/>
    <w:rsid w:val="7DFA6B28"/>
    <w:rsid w:val="7E016E4E"/>
    <w:rsid w:val="7E12246C"/>
    <w:rsid w:val="7E2644A6"/>
    <w:rsid w:val="7E3051D7"/>
    <w:rsid w:val="7E3606B9"/>
    <w:rsid w:val="7E473004"/>
    <w:rsid w:val="7E496DF0"/>
    <w:rsid w:val="7E5971A9"/>
    <w:rsid w:val="7E5B4217"/>
    <w:rsid w:val="7E67086B"/>
    <w:rsid w:val="7E8C078B"/>
    <w:rsid w:val="7E9B314E"/>
    <w:rsid w:val="7EEA0EF5"/>
    <w:rsid w:val="7F242908"/>
    <w:rsid w:val="7F286C8C"/>
    <w:rsid w:val="7F2A0150"/>
    <w:rsid w:val="7F3A22CD"/>
    <w:rsid w:val="7F3C6FA7"/>
    <w:rsid w:val="7F560F66"/>
    <w:rsid w:val="7F5E259D"/>
    <w:rsid w:val="7F607B23"/>
    <w:rsid w:val="7F696BD0"/>
    <w:rsid w:val="7F7B4ACE"/>
    <w:rsid w:val="7F810EC2"/>
    <w:rsid w:val="7FB36445"/>
    <w:rsid w:val="7FE469EC"/>
    <w:rsid w:val="7FF857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5"/>
    <w:next w:val="5"/>
    <w:qFormat/>
    <w:uiPriority w:val="0"/>
    <w:pPr>
      <w:tabs>
        <w:tab w:val="left" w:pos="1440"/>
      </w:tabs>
      <w:spacing w:beforeAutospacing="1" w:afterAutospacing="1"/>
      <w:jc w:val="left"/>
      <w:outlineLvl w:val="0"/>
    </w:pPr>
    <w:rPr>
      <w:rFonts w:hint="eastAsia" w:ascii="宋体" w:hAnsi="宋体"/>
      <w:kern w:val="44"/>
      <w:sz w:val="48"/>
      <w:szCs w:val="48"/>
    </w:rPr>
  </w:style>
  <w:style w:type="paragraph" w:styleId="5">
    <w:name w:val="heading 2"/>
    <w:basedOn w:val="1"/>
    <w:next w:val="1"/>
    <w:qFormat/>
    <w:uiPriority w:val="0"/>
    <w:pPr>
      <w:keepNext/>
      <w:keepLines/>
      <w:widowControl w:val="0"/>
      <w:numPr>
        <w:ilvl w:val="1"/>
        <w:numId w:val="1"/>
      </w:numPr>
      <w:adjustRightInd w:val="0"/>
      <w:spacing w:before="200" w:beforeLines="0" w:after="120" w:afterLines="0" w:line="240" w:lineRule="auto"/>
      <w:jc w:val="both"/>
      <w:outlineLvl w:val="1"/>
    </w:pPr>
    <w:rPr>
      <w:rFonts w:ascii="Times New Roman" w:hAnsi="Times New Roman" w:cs="Times New Roman"/>
      <w:b/>
      <w:bCs/>
      <w:kern w:val="2"/>
      <w:sz w:val="28"/>
      <w:szCs w:val="20"/>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left="0" w:leftChars="0" w:firstLine="420" w:firstLineChars="200"/>
    </w:pPr>
    <w:rPr>
      <w:rFonts w:ascii="仿宋_GB2312" w:eastAsia="仿宋_GB2312"/>
      <w:sz w:val="32"/>
    </w:rPr>
  </w:style>
  <w:style w:type="paragraph" w:styleId="3">
    <w:name w:val="Body Text Indent"/>
    <w:basedOn w:val="1"/>
    <w:qFormat/>
    <w:uiPriority w:val="0"/>
    <w:pPr>
      <w:spacing w:after="120"/>
      <w:ind w:left="420" w:leftChars="200"/>
    </w:pPr>
  </w:style>
  <w:style w:type="paragraph" w:styleId="6">
    <w:name w:val="Body Text"/>
    <w:basedOn w:val="1"/>
    <w:qFormat/>
    <w:uiPriority w:val="1"/>
    <w:pPr>
      <w:autoSpaceDE w:val="0"/>
      <w:autoSpaceDN w:val="0"/>
      <w:ind w:left="287"/>
      <w:jc w:val="left"/>
    </w:pPr>
    <w:rPr>
      <w:rFonts w:ascii="仿宋_GB2312" w:hAnsi="仿宋_GB2312" w:eastAsia="仿宋_GB2312" w:cs="仿宋_GB2312"/>
      <w:kern w:val="0"/>
      <w:sz w:val="32"/>
      <w:szCs w:val="32"/>
      <w:lang w:val="zh-CN" w:bidi="zh-CN"/>
    </w:rPr>
  </w:style>
  <w:style w:type="paragraph" w:styleId="7">
    <w:name w:val="Balloon Text"/>
    <w:basedOn w:val="1"/>
    <w:link w:val="19"/>
    <w:qFormat/>
    <w:uiPriority w:val="0"/>
    <w:rPr>
      <w:sz w:val="18"/>
      <w:szCs w:val="18"/>
    </w:rPr>
  </w:style>
  <w:style w:type="paragraph" w:styleId="8">
    <w:name w:val="footer"/>
    <w:basedOn w:val="1"/>
    <w:link w:val="17"/>
    <w:qFormat/>
    <w:uiPriority w:val="0"/>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Autospacing="1" w:afterAutospacing="1"/>
      <w:jc w:val="left"/>
    </w:pPr>
    <w:rPr>
      <w:kern w:val="0"/>
      <w:sz w:val="24"/>
    </w:rPr>
  </w:style>
  <w:style w:type="character" w:styleId="13">
    <w:name w:val="Strong"/>
    <w:basedOn w:val="12"/>
    <w:qFormat/>
    <w:uiPriority w:val="0"/>
    <w:rPr>
      <w:b/>
    </w:rPr>
  </w:style>
  <w:style w:type="character" w:styleId="14">
    <w:name w:val="Emphasis"/>
    <w:basedOn w:val="12"/>
    <w:qFormat/>
    <w:uiPriority w:val="0"/>
    <w:rPr>
      <w:i/>
    </w:rPr>
  </w:style>
  <w:style w:type="character" w:styleId="15">
    <w:name w:val="Hyperlink"/>
    <w:basedOn w:val="12"/>
    <w:qFormat/>
    <w:uiPriority w:val="0"/>
    <w:rPr>
      <w:color w:val="0000FF"/>
      <w:u w:val="single"/>
    </w:rPr>
  </w:style>
  <w:style w:type="character" w:customStyle="1" w:styleId="16">
    <w:name w:val="页眉 字符"/>
    <w:basedOn w:val="12"/>
    <w:link w:val="9"/>
    <w:qFormat/>
    <w:uiPriority w:val="0"/>
    <w:rPr>
      <w:kern w:val="2"/>
      <w:sz w:val="18"/>
      <w:szCs w:val="18"/>
    </w:rPr>
  </w:style>
  <w:style w:type="character" w:customStyle="1" w:styleId="17">
    <w:name w:val="页脚 字符"/>
    <w:basedOn w:val="12"/>
    <w:link w:val="8"/>
    <w:qFormat/>
    <w:uiPriority w:val="0"/>
    <w:rPr>
      <w:kern w:val="2"/>
      <w:sz w:val="18"/>
      <w:szCs w:val="18"/>
    </w:rPr>
  </w:style>
  <w:style w:type="paragraph" w:styleId="18">
    <w:name w:val="List Paragraph"/>
    <w:basedOn w:val="1"/>
    <w:unhideWhenUsed/>
    <w:qFormat/>
    <w:uiPriority w:val="99"/>
    <w:pPr>
      <w:ind w:firstLine="420" w:firstLineChars="200"/>
    </w:pPr>
  </w:style>
  <w:style w:type="character" w:customStyle="1" w:styleId="19">
    <w:name w:val="批注框文本 字符"/>
    <w:basedOn w:val="12"/>
    <w:link w:val="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chart" Target="charts/chart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hy\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2021</a:t>
            </a:r>
            <a:r>
              <a:rPr altLang="en-US"/>
              <a:t>年沂南县依申请公开答复情况</a:t>
            </a:r>
            <a:endParaRPr lang="en-US" altLang="zh-CN"/>
          </a:p>
        </c:rich>
      </c:tx>
      <c:layout>
        <c:manualLayout>
          <c:xMode val="edge"/>
          <c:yMode val="edge"/>
          <c:x val="0.191111111111111"/>
          <c:y val="0.025462962962963"/>
        </c:manualLayout>
      </c:layout>
      <c:overlay val="0"/>
      <c:spPr>
        <a:noFill/>
        <a:ln>
          <a:noFill/>
        </a:ln>
        <a:effectLst/>
      </c:spPr>
    </c:title>
    <c:autoTitleDeleted val="0"/>
    <c:plotArea>
      <c:layout/>
      <c:pieChart>
        <c:varyColors val="1"/>
        <c:ser>
          <c:idx val="0"/>
          <c:order val="0"/>
          <c:spPr>
            <a:solidFill>
              <a:srgbClr val="859949"/>
            </a:solidFill>
            <a:ln w="31750">
              <a:solidFill>
                <a:schemeClr val="bg1">
                  <a:alpha val="42000"/>
                </a:schemeClr>
              </a:solidFill>
            </a:ln>
          </c:spPr>
          <c:explosion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工作表.xls]Sheet1'!$A$1:$A$4</c:f>
              <c:strCache>
                <c:ptCount val="4"/>
                <c:pt idx="0">
                  <c:v>予以公开</c:v>
                </c:pt>
                <c:pt idx="1">
                  <c:v>无法提供</c:v>
                </c:pt>
                <c:pt idx="2">
                  <c:v>部分公开</c:v>
                </c:pt>
                <c:pt idx="3">
                  <c:v>不予公开</c:v>
                </c:pt>
              </c:strCache>
            </c:strRef>
          </c:cat>
          <c:val>
            <c:numRef>
              <c:f>'[新建 XLS 工作表.xls]Sheet1'!$B$1:$B$4</c:f>
            </c:numRef>
          </c:val>
        </c:ser>
        <c:ser>
          <c:idx val="1"/>
          <c:order val="1"/>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Pt>
            <c:idx val="2"/>
            <c:bubble3D val="0"/>
            <c:spPr>
              <a:solidFill>
                <a:srgbClr val="D06F83"/>
              </a:solidFill>
              <a:ln w="31750">
                <a:solidFill>
                  <a:schemeClr val="bg1">
                    <a:alpha val="42000"/>
                  </a:schemeClr>
                </a:solidFill>
              </a:ln>
              <a:effectLst/>
            </c:spPr>
          </c:dPt>
          <c:dPt>
            <c:idx val="3"/>
            <c:bubble3D val="0"/>
            <c:spPr>
              <a:solidFill>
                <a:srgbClr val="DD5F71"/>
              </a:solidFill>
              <a:ln w="31750">
                <a:solidFill>
                  <a:schemeClr val="bg1">
                    <a:alpha val="42000"/>
                  </a:schemeClr>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工作表.xls]Sheet1'!$A$1:$A$4</c:f>
              <c:strCache>
                <c:ptCount val="4"/>
                <c:pt idx="0">
                  <c:v>予以公开</c:v>
                </c:pt>
                <c:pt idx="1">
                  <c:v>无法提供</c:v>
                </c:pt>
                <c:pt idx="2">
                  <c:v>部分公开</c:v>
                </c:pt>
                <c:pt idx="3">
                  <c:v>不予公开</c:v>
                </c:pt>
              </c:strCache>
            </c:strRef>
          </c:cat>
          <c:val>
            <c:numRef>
              <c:f>'[新建 XLS 工作表.xls]Sheet1'!$C$1:$C$4</c:f>
              <c:numCache>
                <c:formatCode>0%</c:formatCode>
                <c:ptCount val="4"/>
                <c:pt idx="0">
                  <c:v>0.491071428571429</c:v>
                </c:pt>
                <c:pt idx="1">
                  <c:v>0.357142857142857</c:v>
                </c:pt>
                <c:pt idx="2">
                  <c:v>0.142857142857143</c:v>
                </c:pt>
                <c:pt idx="3">
                  <c:v>0.00892857142857143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4973</Words>
  <Characters>5206</Characters>
  <Lines>0</Lines>
  <Paragraphs>0</Paragraphs>
  <TotalTime>1</TotalTime>
  <ScaleCrop>false</ScaleCrop>
  <LinksUpToDate>false</LinksUpToDate>
  <CharactersWithSpaces>5219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Administrator</cp:lastModifiedBy>
  <dcterms:modified xsi:type="dcterms:W3CDTF">2022-07-28T09:34:48Z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ADD6232B71304747A60376072F14EB53</vt:lpwstr>
  </property>
</Properties>
</file>