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Cs/>
          <w:color w:val="333333"/>
          <w:spacing w:val="-17"/>
          <w:sz w:val="44"/>
          <w:szCs w:val="44"/>
          <w:shd w:val="clear" w:color="auto" w:fill="FFFFFF"/>
          <w:lang w:val="en-US" w:eastAsia="zh-CN"/>
        </w:rPr>
      </w:pPr>
      <w:bookmarkStart w:id="0" w:name="OLE_LINK8"/>
      <w:r>
        <w:rPr>
          <w:rFonts w:hint="eastAsia" w:ascii="方正小标宋简体" w:hAnsi="方正小标宋简体" w:eastAsia="方正小标宋简体" w:cs="方正小标宋简体"/>
          <w:bCs/>
          <w:color w:val="333333"/>
          <w:sz w:val="44"/>
          <w:szCs w:val="44"/>
          <w:shd w:val="clear" w:color="auto" w:fill="FFFFFF"/>
          <w:lang w:val="en-US" w:eastAsia="zh-CN"/>
        </w:rPr>
        <w:t>沂南县</w:t>
      </w:r>
      <w:r>
        <w:rPr>
          <w:rFonts w:hint="eastAsia" w:ascii="方正小标宋简体" w:hAnsi="方正小标宋简体" w:eastAsia="方正小标宋简体" w:cs="方正小标宋简体"/>
          <w:bCs/>
          <w:color w:val="333333"/>
          <w:spacing w:val="-17"/>
          <w:sz w:val="44"/>
          <w:szCs w:val="44"/>
          <w:shd w:val="clear" w:color="auto" w:fill="FFFFFF"/>
          <w:lang w:val="en-US" w:eastAsia="zh-CN"/>
        </w:rPr>
        <w:t>人民政府</w:t>
      </w:r>
    </w:p>
    <w:p>
      <w:pPr>
        <w:pStyle w:val="8"/>
        <w:shd w:val="clear" w:color="auto" w:fill="FFFFFF"/>
        <w:spacing w:before="0" w:beforeAutospacing="0" w:after="0" w:afterAutospacing="0" w:line="560" w:lineRule="exact"/>
        <w:jc w:val="center"/>
        <w:rPr>
          <w:rFonts w:ascii="方正小标宋简体" w:hAnsi="方正小标宋简体" w:eastAsia="方正小标宋简体" w:cs="方正小标宋简体"/>
          <w:bCs/>
          <w:color w:val="333333"/>
          <w:sz w:val="44"/>
          <w:szCs w:val="44"/>
        </w:rPr>
      </w:pPr>
      <w:r>
        <w:rPr>
          <w:rFonts w:hint="eastAsia" w:ascii="方正小标宋简体" w:hAnsi="方正小标宋简体" w:eastAsia="方正小标宋简体" w:cs="方正小标宋简体"/>
          <w:bCs/>
          <w:color w:val="333333"/>
          <w:spacing w:val="-17"/>
          <w:sz w:val="44"/>
          <w:szCs w:val="44"/>
          <w:shd w:val="clear" w:color="auto" w:fill="FFFFFF"/>
        </w:rPr>
        <w:t>202</w:t>
      </w:r>
      <w:r>
        <w:rPr>
          <w:rFonts w:hint="eastAsia" w:ascii="方正小标宋简体" w:hAnsi="方正小标宋简体" w:eastAsia="方正小标宋简体" w:cs="方正小标宋简体"/>
          <w:bCs/>
          <w:color w:val="333333"/>
          <w:spacing w:val="-17"/>
          <w:sz w:val="44"/>
          <w:szCs w:val="44"/>
          <w:shd w:val="clear" w:color="auto" w:fill="FFFFFF"/>
          <w:lang w:val="en-US" w:eastAsia="zh-CN"/>
        </w:rPr>
        <w:t>4</w:t>
      </w:r>
      <w:r>
        <w:rPr>
          <w:rFonts w:hint="eastAsia" w:ascii="方正小标宋简体" w:hAnsi="方正小标宋简体" w:eastAsia="方正小标宋简体" w:cs="方正小标宋简体"/>
          <w:bCs/>
          <w:color w:val="333333"/>
          <w:spacing w:val="-17"/>
          <w:sz w:val="44"/>
          <w:szCs w:val="44"/>
          <w:shd w:val="clear" w:color="auto" w:fill="FFFFFF"/>
        </w:rPr>
        <w:t>年政府信息公开工作</w:t>
      </w:r>
      <w:r>
        <w:rPr>
          <w:rFonts w:hint="eastAsia" w:ascii="方正小标宋简体" w:hAnsi="方正小标宋简体" w:eastAsia="方正小标宋简体" w:cs="方正小标宋简体"/>
          <w:bCs/>
          <w:color w:val="333333"/>
          <w:sz w:val="44"/>
          <w:szCs w:val="44"/>
          <w:shd w:val="clear" w:color="auto" w:fill="FFFFFF"/>
        </w:rPr>
        <w:t>年度报告</w:t>
      </w:r>
      <w:bookmarkEnd w:id="0"/>
    </w:p>
    <w:p>
      <w:pPr>
        <w:pStyle w:val="8"/>
        <w:shd w:val="clear" w:color="auto" w:fill="FFFFFF"/>
        <w:spacing w:before="0" w:beforeAutospacing="0" w:after="0" w:afterAutospacing="0"/>
        <w:ind w:firstLine="420"/>
        <w:jc w:val="both"/>
        <w:rPr>
          <w:rFonts w:eastAsia="宋体"/>
          <w:color w:val="333333"/>
        </w:rPr>
      </w:pPr>
    </w:p>
    <w:p>
      <w:pPr>
        <w:pStyle w:val="8"/>
        <w:shd w:val="clear" w:color="auto" w:fill="FFFFFF"/>
        <w:spacing w:before="0" w:beforeAutospacing="0" w:after="0" w:afterAutospacing="0"/>
        <w:ind w:firstLine="420"/>
        <w:jc w:val="both"/>
        <w:rPr>
          <w:rFonts w:eastAsia="宋体"/>
          <w:color w:val="333333"/>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sz w:val="32"/>
          <w:szCs w:val="32"/>
        </w:rPr>
        <w:t>本年度报告根据《中华人民共和国政府信息公开条例》（国务院令第711号）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电子版可从沂南县人民政府门户网站（ http://www.yinan.gov.cn/）查阅或下载。如对本报告有疑问，请与沂南县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联系（地址：沂南县</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路</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2号；邮编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276300；电话：0539-322</w:t>
      </w:r>
      <w:r>
        <w:rPr>
          <w:rFonts w:hint="eastAsia" w:ascii="仿宋_GB2312" w:hAnsi="仿宋_GB2312" w:eastAsia="仿宋_GB2312" w:cs="仿宋_GB2312"/>
          <w:sz w:val="32"/>
          <w:szCs w:val="32"/>
          <w:lang w:val="en-US" w:eastAsia="zh-CN"/>
        </w:rPr>
        <w:t>9017</w:t>
      </w:r>
      <w:r>
        <w:rPr>
          <w:rFonts w:hint="eastAsia" w:ascii="仿宋_GB2312" w:hAnsi="仿宋_GB2312" w:eastAsia="仿宋_GB2312" w:cs="仿宋_GB2312"/>
          <w:sz w:val="32"/>
          <w:szCs w:val="32"/>
        </w:rPr>
        <w:t>；电子邮箱：</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"mailto:ynxzfxxgk@ly.shandong.cn）" </w:instrText>
      </w:r>
      <w:r>
        <w:rPr>
          <w:rFonts w:hint="eastAsia" w:ascii="仿宋_GB2312" w:hAnsi="仿宋_GB2312" w:eastAsia="仿宋_GB2312" w:cs="仿宋_GB2312"/>
          <w:color w:val="auto"/>
          <w:sz w:val="32"/>
          <w:szCs w:val="32"/>
          <w:u w:val="none"/>
        </w:rPr>
        <w:fldChar w:fldCharType="separate"/>
      </w:r>
      <w:r>
        <w:rPr>
          <w:rStyle w:val="15"/>
          <w:rFonts w:hint="eastAsia" w:ascii="仿宋_GB2312" w:hAnsi="仿宋_GB2312" w:eastAsia="仿宋_GB2312" w:cs="仿宋_GB2312"/>
          <w:color w:val="auto"/>
          <w:sz w:val="32"/>
          <w:szCs w:val="32"/>
          <w:u w:val="none"/>
        </w:rPr>
        <w:t>ynx</w:t>
      </w:r>
      <w:r>
        <w:rPr>
          <w:rStyle w:val="15"/>
          <w:rFonts w:hint="eastAsia" w:ascii="仿宋_GB2312" w:hAnsi="仿宋_GB2312" w:eastAsia="仿宋_GB2312" w:cs="仿宋_GB2312"/>
          <w:color w:val="auto"/>
          <w:sz w:val="32"/>
          <w:szCs w:val="32"/>
          <w:u w:val="none"/>
          <w:lang w:val="en-US" w:eastAsia="zh-CN"/>
        </w:rPr>
        <w:t>zfxxgk</w:t>
      </w:r>
      <w:r>
        <w:rPr>
          <w:rStyle w:val="15"/>
          <w:rFonts w:hint="eastAsia" w:ascii="仿宋_GB2312" w:hAnsi="仿宋_GB2312" w:eastAsia="仿宋_GB2312" w:cs="仿宋_GB2312"/>
          <w:color w:val="auto"/>
          <w:sz w:val="32"/>
          <w:szCs w:val="32"/>
          <w:u w:val="none"/>
        </w:rPr>
        <w:t>@ly.shandong.cn）</w:t>
      </w:r>
      <w:r>
        <w:rPr>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color w:val="auto"/>
          <w:sz w:val="32"/>
          <w:szCs w:val="32"/>
          <w:u w:val="none"/>
          <w:lang w:eastAsia="zh-CN"/>
        </w:rPr>
        <w:t>。</w:t>
      </w:r>
    </w:p>
    <w:p>
      <w:pPr>
        <w:pStyle w:val="9"/>
        <w:keepNext w:val="0"/>
        <w:keepLines w:val="0"/>
        <w:pageBreakBefore w:val="0"/>
        <w:kinsoku/>
        <w:wordWrap/>
        <w:overflowPunct/>
        <w:topLinePunct w:val="0"/>
        <w:autoSpaceDE/>
        <w:autoSpaceDN/>
        <w:bidi w:val="0"/>
        <w:adjustRightInd/>
        <w:snapToGrid/>
        <w:spacing w:after="0" w:line="560" w:lineRule="exact"/>
        <w:ind w:left="0" w:leftChars="0" w:firstLine="620" w:firstLineChars="200"/>
        <w:jc w:val="both"/>
        <w:textAlignment w:val="auto"/>
        <w:outlineLvl w:val="9"/>
        <w:rPr>
          <w:rFonts w:hint="eastAsia"/>
          <w:lang w:val="en-US" w:eastAsia="zh-CN"/>
        </w:rPr>
      </w:pPr>
      <w:r>
        <w:rPr>
          <w:rFonts w:hint="eastAsia" w:ascii="黑体" w:hAnsi="宋体" w:eastAsia="黑体" w:cs="黑体"/>
          <w:color w:val="000000"/>
          <w:kern w:val="0"/>
          <w:sz w:val="31"/>
          <w:szCs w:val="31"/>
          <w:lang w:val="en-US" w:eastAsia="zh-CN" w:bidi="ar"/>
        </w:rPr>
        <w:t xml:space="preserve">一、总体情况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2024年，沂南县认真贯彻落实国家和省市关于做好新时代政务公开工作要求，准确把握新时代政务公开</w:t>
      </w:r>
      <w:bookmarkStart w:id="31" w:name="_GoBack"/>
      <w:bookmarkEnd w:id="31"/>
      <w:r>
        <w:rPr>
          <w:rFonts w:hint="eastAsia" w:ascii="仿宋_GB2312" w:hAnsi="仿宋_GB2312" w:eastAsia="仿宋_GB2312" w:cs="仿宋_GB2312"/>
          <w:b w:val="0"/>
          <w:color w:val="auto"/>
          <w:kern w:val="2"/>
          <w:sz w:val="32"/>
          <w:szCs w:val="32"/>
          <w:lang w:val="en-US" w:eastAsia="zh-CN" w:bidi="ar-SA"/>
        </w:rPr>
        <w:t>新形势、新要求，坚持人民至上，统筹政务公开与安全保密，优化政策服务，更好</w:t>
      </w:r>
      <w:bookmarkStart w:id="1" w:name="OLE_LINK9"/>
      <w:r>
        <w:rPr>
          <w:rFonts w:hint="eastAsia" w:ascii="仿宋_GB2312" w:hAnsi="仿宋_GB2312" w:eastAsia="仿宋_GB2312" w:cs="仿宋_GB2312"/>
          <w:b w:val="0"/>
          <w:color w:val="auto"/>
          <w:kern w:val="2"/>
          <w:sz w:val="32"/>
          <w:szCs w:val="32"/>
          <w:lang w:val="en-US" w:eastAsia="zh-CN" w:bidi="ar-SA"/>
        </w:rPr>
        <w:t>发挥以公开促落实、优服务、强监管作用</w:t>
      </w:r>
      <w:bookmarkEnd w:id="1"/>
      <w:r>
        <w:rPr>
          <w:rFonts w:hint="eastAsia" w:ascii="仿宋_GB2312" w:hAnsi="仿宋_GB2312" w:eastAsia="仿宋_GB2312" w:cs="仿宋_GB2312"/>
          <w:b w:val="0"/>
          <w:color w:val="auto"/>
          <w:kern w:val="2"/>
          <w:sz w:val="32"/>
          <w:szCs w:val="32"/>
          <w:lang w:val="en-US" w:eastAsia="zh-CN" w:bidi="ar-SA"/>
        </w:rPr>
        <w:t>，助推全县中心工作落地见效。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（一）主动公开</w:t>
      </w:r>
    </w:p>
    <w:p>
      <w:pPr>
        <w:pStyle w:val="2"/>
        <w:bidi w:val="0"/>
        <w:ind w:firstLine="640" w:firstLineChars="200"/>
        <w:rPr>
          <w:rFonts w:hint="default"/>
          <w:lang w:val="en-US" w:eastAsia="zh-CN"/>
        </w:rPr>
      </w:pPr>
      <w:r>
        <w:rPr>
          <w:rFonts w:hint="eastAsia" w:ascii="仿宋_GB2312" w:hAnsi="仿宋_GB2312" w:eastAsia="仿宋_GB2312" w:cs="仿宋_GB2312"/>
          <w:b w:val="0"/>
          <w:color w:val="auto"/>
          <w:kern w:val="2"/>
          <w:sz w:val="32"/>
          <w:szCs w:val="32"/>
          <w:lang w:val="en-US" w:eastAsia="zh-CN" w:bidi="ar-SA"/>
        </w:rPr>
        <w:t>2024年，</w:t>
      </w:r>
      <w:bookmarkStart w:id="2" w:name="OLE_LINK5"/>
      <w:r>
        <w:rPr>
          <w:rFonts w:hint="eastAsia" w:ascii="仿宋_GB2312" w:hAnsi="仿宋_GB2312" w:eastAsia="仿宋_GB2312" w:cs="仿宋_GB2312"/>
          <w:b w:val="0"/>
          <w:color w:val="auto"/>
          <w:kern w:val="2"/>
          <w:sz w:val="32"/>
          <w:szCs w:val="32"/>
          <w:lang w:val="en-US" w:eastAsia="zh-CN" w:bidi="ar-SA"/>
        </w:rPr>
        <w:t>沂南县深化县政府门户网站政府信息公开主平台作用</w:t>
      </w:r>
      <w:bookmarkStart w:id="3" w:name="OLE_LINK10"/>
      <w:r>
        <w:rPr>
          <w:rFonts w:hint="eastAsia" w:ascii="仿宋_GB2312" w:hAnsi="仿宋_GB2312" w:eastAsia="仿宋_GB2312" w:cs="仿宋_GB2312"/>
          <w:b w:val="0"/>
          <w:color w:val="auto"/>
          <w:kern w:val="2"/>
          <w:sz w:val="32"/>
          <w:szCs w:val="32"/>
          <w:lang w:val="en-US" w:eastAsia="zh-CN" w:bidi="ar-SA"/>
        </w:rPr>
        <w:t>,围绕县委、县</w:t>
      </w:r>
      <w:r>
        <w:rPr>
          <w:rFonts w:hint="eastAsia" w:ascii="仿宋_GB2312" w:hAnsi="仿宋_GB2312" w:eastAsia="仿宋_GB2312" w:cs="仿宋_GB2312"/>
          <w:b w:val="0"/>
          <w:bCs w:val="0"/>
          <w:color w:val="auto"/>
          <w:kern w:val="2"/>
          <w:sz w:val="32"/>
          <w:szCs w:val="32"/>
          <w:lang w:val="en-US" w:eastAsia="zh-CN" w:bidi="ar-SA"/>
        </w:rPr>
        <w:t>政府重点工作任务</w:t>
      </w:r>
      <w:bookmarkEnd w:id="3"/>
      <w:r>
        <w:rPr>
          <w:rFonts w:hint="eastAsia" w:ascii="仿宋_GB2312" w:hAnsi="仿宋_GB2312" w:eastAsia="仿宋_GB2312" w:cs="仿宋_GB2312"/>
          <w:b w:val="0"/>
          <w:bCs w:val="0"/>
          <w:color w:val="auto"/>
          <w:kern w:val="2"/>
          <w:sz w:val="32"/>
          <w:szCs w:val="32"/>
          <w:lang w:val="en-US" w:eastAsia="zh-CN" w:bidi="ar-SA"/>
        </w:rPr>
        <w:t>，主动公开各类</w:t>
      </w:r>
      <w:r>
        <w:rPr>
          <w:rFonts w:hint="eastAsia" w:ascii="仿宋_GB2312" w:eastAsia="仿宋_GB2312"/>
          <w:b w:val="0"/>
          <w:bCs w:val="0"/>
          <w:sz w:val="32"/>
          <w:szCs w:val="32"/>
        </w:rPr>
        <w:t>政府信息</w:t>
      </w:r>
      <w:r>
        <w:rPr>
          <w:rFonts w:hint="eastAsia" w:ascii="仿宋_GB2312" w:eastAsia="仿宋_GB2312"/>
          <w:b w:val="0"/>
          <w:bCs w:val="0"/>
          <w:sz w:val="32"/>
          <w:szCs w:val="32"/>
          <w:lang w:val="en-US" w:eastAsia="zh-CN"/>
        </w:rPr>
        <w:t>8149条</w:t>
      </w:r>
      <w:r>
        <w:rPr>
          <w:rFonts w:hint="eastAsia" w:ascii="仿宋_GB2312" w:hAnsi="仿宋_GB2312" w:eastAsia="仿宋_GB2312" w:cs="仿宋_GB2312"/>
          <w:b w:val="0"/>
          <w:bCs w:val="0"/>
          <w:color w:val="auto"/>
          <w:kern w:val="2"/>
          <w:sz w:val="32"/>
          <w:szCs w:val="32"/>
          <w:lang w:val="en-US" w:eastAsia="zh-CN" w:bidi="ar-SA"/>
        </w:rPr>
        <w:t>。</w:t>
      </w:r>
      <w:bookmarkEnd w:id="2"/>
      <w:bookmarkStart w:id="4" w:name="OLE_LINK12"/>
      <w:r>
        <w:rPr>
          <w:rFonts w:hint="eastAsia" w:ascii="仿宋_GB2312" w:hAnsi="仿宋_GB2312" w:eastAsia="仿宋_GB2312" w:cs="仿宋_GB2312"/>
          <w:b w:val="0"/>
          <w:bCs w:val="0"/>
          <w:color w:val="auto"/>
          <w:kern w:val="2"/>
          <w:sz w:val="32"/>
          <w:szCs w:val="32"/>
          <w:lang w:val="en-US" w:eastAsia="zh-CN" w:bidi="ar-SA"/>
        </w:rPr>
        <w:t>公开财政预决算信息423条，</w:t>
      </w:r>
      <w:r>
        <w:rPr>
          <w:rFonts w:hint="eastAsia" w:ascii="仿宋_GB2312" w:eastAsia="仿宋_GB2312"/>
          <w:b w:val="0"/>
          <w:bCs w:val="0"/>
          <w:sz w:val="32"/>
          <w:szCs w:val="32"/>
        </w:rPr>
        <w:t>实现部门及所属单位预决算公开全覆盖。</w:t>
      </w:r>
      <w:r>
        <w:rPr>
          <w:rFonts w:hint="eastAsia" w:ascii="仿宋_GB2312" w:hAnsi="仿宋_GB2312" w:eastAsia="仿宋_GB2312" w:cs="仿宋_GB2312"/>
          <w:b w:val="0"/>
          <w:bCs w:val="0"/>
          <w:color w:val="000000"/>
          <w:kern w:val="0"/>
          <w:sz w:val="32"/>
          <w:szCs w:val="32"/>
          <w:lang w:val="en-US" w:eastAsia="zh-CN" w:bidi="ar"/>
        </w:rPr>
        <w:t>制定发布规范性文件2件，其他文件21件，对重要政策开展</w:t>
      </w:r>
      <w:r>
        <w:rPr>
          <w:rFonts w:hint="eastAsia" w:ascii="仿宋_GB2312" w:eastAsia="仿宋_GB2312"/>
          <w:b w:val="0"/>
          <w:bCs w:val="0"/>
          <w:sz w:val="32"/>
          <w:szCs w:val="32"/>
          <w:lang w:val="en-US" w:eastAsia="zh-CN"/>
        </w:rPr>
        <w:t>新闻发布会、在线访谈、动漫等</w:t>
      </w:r>
      <w:r>
        <w:rPr>
          <w:rFonts w:hint="eastAsia" w:ascii="仿宋_GB2312" w:eastAsia="仿宋_GB2312"/>
          <w:b w:val="0"/>
          <w:bCs w:val="0"/>
          <w:sz w:val="32"/>
          <w:szCs w:val="32"/>
        </w:rPr>
        <w:t>解读</w:t>
      </w:r>
      <w:r>
        <w:rPr>
          <w:rFonts w:hint="eastAsia" w:ascii="仿宋_GB2312" w:eastAsia="仿宋_GB2312"/>
          <w:b w:val="0"/>
          <w:bCs w:val="0"/>
          <w:sz w:val="32"/>
          <w:szCs w:val="32"/>
          <w:lang w:val="en-US" w:eastAsia="zh-CN"/>
        </w:rPr>
        <w:t>33</w:t>
      </w:r>
      <w:r>
        <w:rPr>
          <w:rFonts w:hint="eastAsia" w:ascii="仿宋_GB2312" w:eastAsia="仿宋_GB2312"/>
          <w:b w:val="0"/>
          <w:bCs w:val="0"/>
          <w:sz w:val="32"/>
          <w:szCs w:val="32"/>
        </w:rPr>
        <w:t>条</w:t>
      </w:r>
      <w:r>
        <w:rPr>
          <w:rFonts w:ascii="微软雅黑" w:hAnsi="微软雅黑" w:eastAsia="微软雅黑" w:cs="微软雅黑"/>
          <w:b w:val="0"/>
          <w:bCs w:val="0"/>
          <w:i w:val="0"/>
          <w:iCs w:val="0"/>
          <w:caps w:val="0"/>
          <w:color w:val="333333"/>
          <w:spacing w:val="0"/>
          <w:sz w:val="27"/>
          <w:szCs w:val="27"/>
          <w:shd w:val="clear" w:fill="FFFFFF"/>
        </w:rPr>
        <w:t>。</w:t>
      </w:r>
      <w:bookmarkEnd w:id="4"/>
      <w:r>
        <w:rPr>
          <w:rFonts w:hint="eastAsia" w:ascii="仿宋_GB2312" w:hAnsi="仿宋_GB2312" w:eastAsia="仿宋_GB2312" w:cs="仿宋_GB2312"/>
          <w:b w:val="0"/>
          <w:bCs w:val="0"/>
          <w:color w:val="auto"/>
          <w:kern w:val="2"/>
          <w:sz w:val="32"/>
          <w:szCs w:val="32"/>
          <w:lang w:val="en-US" w:eastAsia="zh-CN" w:bidi="ar-SA"/>
        </w:rPr>
        <w:t>公开县政府常务会议10次，同步发布会议议题解读、图表解读、视频回放等信息。聚焦</w:t>
      </w:r>
      <w:bookmarkStart w:id="5" w:name="OLE_LINK11"/>
      <w:r>
        <w:rPr>
          <w:rFonts w:hint="eastAsia" w:ascii="仿宋_GB2312" w:hAnsi="仿宋_GB2312" w:eastAsia="仿宋_GB2312" w:cs="仿宋_GB2312"/>
          <w:b w:val="0"/>
          <w:bCs w:val="0"/>
          <w:color w:val="auto"/>
          <w:kern w:val="2"/>
          <w:sz w:val="32"/>
          <w:szCs w:val="32"/>
          <w:lang w:val="en-US" w:eastAsia="zh-CN" w:bidi="ar-SA"/>
        </w:rPr>
        <w:t>义务教育、医疗卫生、养老服务、住房保障、稳岗就业、乡村振兴</w:t>
      </w:r>
      <w:bookmarkEnd w:id="5"/>
      <w:r>
        <w:rPr>
          <w:rFonts w:hint="eastAsia" w:ascii="仿宋_GB2312" w:hAnsi="仿宋_GB2312" w:eastAsia="仿宋_GB2312" w:cs="仿宋_GB2312"/>
          <w:b w:val="0"/>
          <w:bCs w:val="0"/>
          <w:color w:val="auto"/>
          <w:kern w:val="2"/>
          <w:sz w:val="32"/>
          <w:szCs w:val="32"/>
          <w:lang w:val="en-US" w:eastAsia="zh-CN" w:bidi="ar-SA"/>
        </w:rPr>
        <w:t>等领域信息，加大政策举措宣传发布。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FF0000"/>
          <w:sz w:val="32"/>
          <w:szCs w:val="32"/>
        </w:rPr>
      </w:pPr>
      <w:r>
        <w:rPr>
          <w:rFonts w:hint="eastAsia" w:ascii="楷体_GB2312" w:hAnsi="楷体_GB2312" w:eastAsia="楷体_GB2312" w:cs="楷体_GB2312"/>
          <w:sz w:val="32"/>
          <w:szCs w:val="32"/>
          <w:lang w:val="en-US" w:eastAsia="zh-CN"/>
        </w:rPr>
        <w:t>（二）依申请公开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FF"/>
          <w:kern w:val="0"/>
          <w:sz w:val="32"/>
          <w:szCs w:val="32"/>
          <w:lang w:val="en-US" w:eastAsia="zh-CN" w:bidi="ar"/>
        </w:rPr>
      </w:pPr>
      <w:r>
        <w:rPr>
          <w:rFonts w:hint="eastAsia" w:ascii="仿宋_GB2312" w:hAnsi="文星仿宋" w:eastAsia="仿宋_GB2312"/>
          <w:sz w:val="32"/>
          <w:szCs w:val="32"/>
        </w:rPr>
        <w:t>严格</w:t>
      </w:r>
      <w:r>
        <w:rPr>
          <w:rFonts w:hint="eastAsia" w:ascii="仿宋_GB2312" w:hAnsi="文星仿宋" w:eastAsia="仿宋_GB2312"/>
          <w:sz w:val="32"/>
          <w:szCs w:val="32"/>
          <w:lang w:val="en-US" w:eastAsia="zh-CN"/>
        </w:rPr>
        <w:t>落实</w:t>
      </w:r>
      <w:r>
        <w:rPr>
          <w:rFonts w:hint="eastAsia" w:ascii="仿宋_GB2312" w:hAnsi="仿宋_GB2312" w:eastAsia="仿宋_GB2312" w:cs="仿宋_GB2312"/>
          <w:sz w:val="32"/>
          <w:szCs w:val="32"/>
          <w:lang w:val="en-US" w:eastAsia="zh-CN"/>
        </w:rPr>
        <w:t>《政府信息公开条例》</w:t>
      </w:r>
      <w:r>
        <w:rPr>
          <w:rFonts w:hint="eastAsia" w:ascii="仿宋_GB2312" w:hAnsi="文星仿宋" w:eastAsia="仿宋_GB2312"/>
          <w:sz w:val="32"/>
          <w:szCs w:val="32"/>
        </w:rPr>
        <w:t>等有关要求</w:t>
      </w:r>
      <w:r>
        <w:rPr>
          <w:rFonts w:hint="eastAsia" w:ascii="仿宋_GB2312" w:hAnsi="文星仿宋" w:eastAsia="仿宋_GB2312"/>
          <w:sz w:val="32"/>
          <w:szCs w:val="32"/>
          <w:lang w:eastAsia="zh-CN"/>
        </w:rPr>
        <w:t>，</w:t>
      </w:r>
      <w:bookmarkStart w:id="6" w:name="OLE_LINK19"/>
      <w:r>
        <w:rPr>
          <w:rFonts w:hint="eastAsia" w:ascii="仿宋_GB2312" w:hAnsi="文星仿宋" w:eastAsia="仿宋_GB2312"/>
          <w:sz w:val="32"/>
          <w:szCs w:val="32"/>
          <w:lang w:val="en-US" w:eastAsia="zh-CN"/>
        </w:rPr>
        <w:t>健全会商联办机制，加大</w:t>
      </w:r>
      <w:r>
        <w:rPr>
          <w:rFonts w:hint="eastAsia" w:ascii="仿宋_GB2312" w:hAnsi="仿宋_GB2312" w:eastAsia="仿宋_GB2312" w:cs="仿宋_GB2312"/>
          <w:sz w:val="32"/>
          <w:szCs w:val="32"/>
          <w:lang w:eastAsia="zh-CN"/>
        </w:rPr>
        <w:t>对部门和乡镇</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lang w:eastAsia="zh-CN"/>
        </w:rPr>
        <w:t>指导力度，</w:t>
      </w:r>
      <w:bookmarkEnd w:id="6"/>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lang w:val="en-US" w:eastAsia="zh-CN"/>
        </w:rPr>
        <w:t>依申请公开受理、登记、审查、办理、答复、归档</w:t>
      </w:r>
      <w:r>
        <w:rPr>
          <w:rFonts w:hint="eastAsia" w:ascii="仿宋_GB2312" w:hAnsi="仿宋_GB2312" w:eastAsia="仿宋_GB2312" w:cs="仿宋_GB2312"/>
          <w:sz w:val="32"/>
          <w:szCs w:val="32"/>
          <w:lang w:eastAsia="zh-CN"/>
        </w:rPr>
        <w:t>全流程监管，</w:t>
      </w:r>
      <w:r>
        <w:rPr>
          <w:rFonts w:hint="eastAsia" w:ascii="仿宋_GB2312" w:hAnsi="仿宋_GB2312" w:eastAsia="仿宋_GB2312" w:cs="仿宋_GB2312"/>
          <w:sz w:val="32"/>
          <w:szCs w:val="32"/>
          <w:lang w:val="en-US" w:eastAsia="zh-CN"/>
        </w:rPr>
        <w:t>全面提升全县依申请公开办理水平</w:t>
      </w:r>
      <w:r>
        <w:rPr>
          <w:rFonts w:hint="eastAsia" w:ascii="仿宋_GB2312" w:hAnsi="仿宋_GB2312" w:eastAsia="仿宋_GB2312" w:cs="仿宋_GB2312"/>
          <w:sz w:val="32"/>
          <w:szCs w:val="32"/>
          <w:lang w:eastAsia="zh-CN"/>
        </w:rPr>
        <w:t>。</w:t>
      </w:r>
      <w:bookmarkStart w:id="7" w:name="OLE_LINK20"/>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4年，全县收到政府信息公开申请109件，同比增加31.3%，均在法定期限内予以答复。</w:t>
      </w:r>
      <w:bookmarkEnd w:id="7"/>
      <w:r>
        <w:rPr>
          <w:rFonts w:hint="eastAsia" w:ascii="仿宋_GB2312" w:hAnsi="仿宋_GB2312" w:eastAsia="仿宋_GB2312" w:cs="仿宋_GB2312"/>
          <w:sz w:val="32"/>
          <w:szCs w:val="32"/>
          <w:lang w:eastAsia="zh-CN"/>
        </w:rPr>
        <w:t>其中予以公开</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lang w:eastAsia="zh-CN"/>
        </w:rPr>
        <w:t>件、部分公开</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eastAsia="zh-CN"/>
        </w:rPr>
        <w:t>件、不予公开</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件、无法提供</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件、不予处理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件、其他处理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lang w:val="en-US" w:eastAsia="zh-CN"/>
        </w:rPr>
        <w:t>因依申请公开引发的行政复议案件8件，行政诉讼案件1件。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（三）政府信息管理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宋体" w:eastAsia="仿宋_GB2312" w:cs="仿宋_GB2312"/>
          <w:i w:val="0"/>
          <w:iCs w:val="0"/>
          <w:caps w:val="0"/>
          <w:color w:val="000000"/>
          <w:spacing w:val="0"/>
          <w:sz w:val="32"/>
          <w:szCs w:val="32"/>
          <w:lang w:val="en-US" w:eastAsia="zh-CN"/>
        </w:rPr>
        <w:t>根据</w:t>
      </w:r>
      <w:r>
        <w:rPr>
          <w:rFonts w:ascii="仿宋_GB2312" w:hAnsi="宋体" w:eastAsia="仿宋_GB2312" w:cs="仿宋_GB2312"/>
          <w:i w:val="0"/>
          <w:iCs w:val="0"/>
          <w:caps w:val="0"/>
          <w:color w:val="000000"/>
          <w:spacing w:val="0"/>
          <w:sz w:val="32"/>
          <w:szCs w:val="32"/>
        </w:rPr>
        <w:t>法律法规</w:t>
      </w:r>
      <w:r>
        <w:rPr>
          <w:rFonts w:hint="eastAsia" w:ascii="仿宋_GB2312" w:hAnsi="宋体" w:eastAsia="仿宋_GB2312" w:cs="仿宋_GB2312"/>
          <w:i w:val="0"/>
          <w:iCs w:val="0"/>
          <w:caps w:val="0"/>
          <w:color w:val="000000"/>
          <w:spacing w:val="0"/>
          <w:sz w:val="32"/>
          <w:szCs w:val="32"/>
          <w:lang w:val="en-US" w:eastAsia="zh-CN"/>
        </w:rPr>
        <w:t>、</w:t>
      </w:r>
      <w:r>
        <w:rPr>
          <w:rFonts w:ascii="仿宋_GB2312" w:hAnsi="宋体" w:eastAsia="仿宋_GB2312" w:cs="仿宋_GB2312"/>
          <w:i w:val="0"/>
          <w:iCs w:val="0"/>
          <w:caps w:val="0"/>
          <w:color w:val="000000"/>
          <w:spacing w:val="0"/>
          <w:sz w:val="32"/>
          <w:szCs w:val="32"/>
        </w:rPr>
        <w:t>规章</w:t>
      </w:r>
      <w:r>
        <w:rPr>
          <w:rFonts w:hint="eastAsia" w:ascii="仿宋_GB2312" w:hAnsi="宋体" w:eastAsia="仿宋_GB2312" w:cs="仿宋_GB2312"/>
          <w:i w:val="0"/>
          <w:iCs w:val="0"/>
          <w:caps w:val="0"/>
          <w:color w:val="000000"/>
          <w:spacing w:val="0"/>
          <w:sz w:val="32"/>
          <w:szCs w:val="32"/>
          <w:lang w:val="en-US" w:eastAsia="zh-CN"/>
        </w:rPr>
        <w:t>关于</w:t>
      </w:r>
      <w:r>
        <w:rPr>
          <w:rFonts w:ascii="仿宋_GB2312" w:hAnsi="宋体" w:eastAsia="仿宋_GB2312" w:cs="仿宋_GB2312"/>
          <w:i w:val="0"/>
          <w:iCs w:val="0"/>
          <w:caps w:val="0"/>
          <w:color w:val="000000"/>
          <w:spacing w:val="0"/>
          <w:sz w:val="32"/>
          <w:szCs w:val="32"/>
        </w:rPr>
        <w:t>主动公开</w:t>
      </w:r>
      <w:r>
        <w:rPr>
          <w:rFonts w:hint="eastAsia" w:ascii="仿宋_GB2312" w:hAnsi="宋体" w:eastAsia="仿宋_GB2312" w:cs="仿宋_GB2312"/>
          <w:i w:val="0"/>
          <w:iCs w:val="0"/>
          <w:caps w:val="0"/>
          <w:color w:val="000000"/>
          <w:spacing w:val="0"/>
          <w:sz w:val="32"/>
          <w:szCs w:val="32"/>
          <w:lang w:val="en-US" w:eastAsia="zh-CN"/>
        </w:rPr>
        <w:t>信息</w:t>
      </w:r>
      <w:r>
        <w:rPr>
          <w:rFonts w:ascii="仿宋_GB2312" w:hAnsi="宋体" w:eastAsia="仿宋_GB2312" w:cs="仿宋_GB2312"/>
          <w:i w:val="0"/>
          <w:iCs w:val="0"/>
          <w:caps w:val="0"/>
          <w:color w:val="000000"/>
          <w:spacing w:val="0"/>
          <w:sz w:val="32"/>
          <w:szCs w:val="32"/>
        </w:rPr>
        <w:t>的规定</w:t>
      </w:r>
      <w:r>
        <w:rPr>
          <w:rFonts w:hint="eastAsia" w:ascii="仿宋_GB2312" w:hAnsi="宋体" w:eastAsia="仿宋_GB2312" w:cs="仿宋_GB2312"/>
          <w:i w:val="0"/>
          <w:iCs w:val="0"/>
          <w:caps w:val="0"/>
          <w:color w:val="000000"/>
          <w:spacing w:val="0"/>
          <w:sz w:val="32"/>
          <w:szCs w:val="32"/>
          <w:lang w:eastAsia="zh-CN"/>
        </w:rPr>
        <w:t>，</w:t>
      </w:r>
      <w:bookmarkStart w:id="8" w:name="OLE_LINK16"/>
      <w:r>
        <w:rPr>
          <w:rFonts w:hint="eastAsia" w:ascii="仿宋_GB2312" w:hAnsi="宋体" w:eastAsia="仿宋_GB2312" w:cs="仿宋_GB2312"/>
          <w:i w:val="0"/>
          <w:iCs w:val="0"/>
          <w:caps w:val="0"/>
          <w:color w:val="000000"/>
          <w:spacing w:val="0"/>
          <w:sz w:val="32"/>
          <w:szCs w:val="32"/>
          <w:lang w:val="en-US" w:eastAsia="zh-CN"/>
        </w:rPr>
        <w:t>全面梳理编制</w:t>
      </w:r>
      <w:r>
        <w:rPr>
          <w:rFonts w:ascii="仿宋_GB2312" w:hAnsi="宋体" w:eastAsia="仿宋_GB2312" w:cs="仿宋_GB2312"/>
          <w:i w:val="0"/>
          <w:iCs w:val="0"/>
          <w:caps w:val="0"/>
          <w:color w:val="000000"/>
          <w:spacing w:val="0"/>
          <w:sz w:val="32"/>
          <w:szCs w:val="32"/>
        </w:rPr>
        <w:t>主动公开事项目录</w:t>
      </w:r>
      <w:r>
        <w:rPr>
          <w:rFonts w:hint="eastAsia" w:ascii="仿宋_GB2312" w:hAnsi="宋体" w:eastAsia="仿宋_GB2312" w:cs="仿宋_GB2312"/>
          <w:i w:val="0"/>
          <w:iCs w:val="0"/>
          <w:caps w:val="0"/>
          <w:color w:val="000000"/>
          <w:spacing w:val="0"/>
          <w:sz w:val="32"/>
          <w:szCs w:val="32"/>
          <w:lang w:eastAsia="zh-CN"/>
        </w:rPr>
        <w:t>，</w:t>
      </w:r>
      <w:r>
        <w:rPr>
          <w:rFonts w:ascii="仿宋_GB2312" w:hAnsi="宋体" w:eastAsia="仿宋_GB2312" w:cs="仿宋_GB2312"/>
          <w:i w:val="0"/>
          <w:iCs w:val="0"/>
          <w:caps w:val="0"/>
          <w:color w:val="000000"/>
          <w:spacing w:val="0"/>
          <w:sz w:val="32"/>
          <w:szCs w:val="32"/>
        </w:rPr>
        <w:t>明确公开</w:t>
      </w:r>
      <w:r>
        <w:rPr>
          <w:rFonts w:hint="eastAsia" w:ascii="仿宋_GB2312" w:hAnsi="宋体" w:eastAsia="仿宋_GB2312" w:cs="仿宋_GB2312"/>
          <w:i w:val="0"/>
          <w:iCs w:val="0"/>
          <w:caps w:val="0"/>
          <w:color w:val="000000"/>
          <w:spacing w:val="0"/>
          <w:sz w:val="32"/>
          <w:szCs w:val="32"/>
          <w:lang w:val="en-US" w:eastAsia="zh-CN"/>
        </w:rPr>
        <w:t>内容、</w:t>
      </w:r>
      <w:r>
        <w:rPr>
          <w:rFonts w:ascii="仿宋_GB2312" w:hAnsi="宋体" w:eastAsia="仿宋_GB2312" w:cs="仿宋_GB2312"/>
          <w:i w:val="0"/>
          <w:iCs w:val="0"/>
          <w:caps w:val="0"/>
          <w:color w:val="000000"/>
          <w:spacing w:val="0"/>
          <w:sz w:val="32"/>
          <w:szCs w:val="32"/>
        </w:rPr>
        <w:t>主体、方式、渠道、责任等要素</w:t>
      </w:r>
      <w:bookmarkEnd w:id="8"/>
      <w:r>
        <w:rPr>
          <w:rFonts w:ascii="仿宋_GB2312" w:hAnsi="宋体" w:eastAsia="仿宋_GB2312" w:cs="仿宋_GB2312"/>
          <w:i w:val="0"/>
          <w:iCs w:val="0"/>
          <w:caps w:val="0"/>
          <w:color w:val="000000"/>
          <w:spacing w:val="0"/>
          <w:sz w:val="32"/>
          <w:szCs w:val="32"/>
        </w:rPr>
        <w:t>，</w:t>
      </w:r>
      <w:r>
        <w:rPr>
          <w:rFonts w:hint="eastAsia" w:ascii="仿宋_GB2312" w:hAnsi="宋体" w:eastAsia="仿宋_GB2312" w:cs="仿宋_GB2312"/>
          <w:i w:val="0"/>
          <w:iCs w:val="0"/>
          <w:caps w:val="0"/>
          <w:color w:val="000000"/>
          <w:spacing w:val="0"/>
          <w:sz w:val="32"/>
          <w:szCs w:val="32"/>
          <w:lang w:val="en-US" w:eastAsia="zh-CN"/>
        </w:rPr>
        <w:t>并进行</w:t>
      </w:r>
      <w:r>
        <w:rPr>
          <w:rFonts w:ascii="仿宋_GB2312" w:hAnsi="宋体" w:eastAsia="仿宋_GB2312" w:cs="仿宋_GB2312"/>
          <w:i w:val="0"/>
          <w:iCs w:val="0"/>
          <w:caps w:val="0"/>
          <w:color w:val="000000"/>
          <w:spacing w:val="0"/>
          <w:sz w:val="32"/>
          <w:szCs w:val="32"/>
        </w:rPr>
        <w:t>清单化管理</w:t>
      </w:r>
      <w:r>
        <w:rPr>
          <w:rFonts w:hint="eastAsia" w:ascii="仿宋_GB2312" w:hAnsi="宋体" w:eastAsia="仿宋_GB2312" w:cs="仿宋_GB2312"/>
          <w:i w:val="0"/>
          <w:iCs w:val="0"/>
          <w:caps w:val="0"/>
          <w:color w:val="000000"/>
          <w:spacing w:val="0"/>
          <w:sz w:val="32"/>
          <w:szCs w:val="32"/>
          <w:lang w:val="en-US" w:eastAsia="zh-CN"/>
        </w:rPr>
        <w:t>和动态调整</w:t>
      </w:r>
      <w:r>
        <w:rPr>
          <w:rFonts w:ascii="仿宋_GB2312" w:hAnsi="宋体" w:eastAsia="仿宋_GB2312" w:cs="仿宋_GB2312"/>
          <w:i w:val="0"/>
          <w:iCs w:val="0"/>
          <w:caps w:val="0"/>
          <w:color w:val="000000"/>
          <w:spacing w:val="0"/>
          <w:sz w:val="32"/>
          <w:szCs w:val="32"/>
        </w:rPr>
        <w:t>。</w:t>
      </w:r>
      <w:r>
        <w:rPr>
          <w:rFonts w:hint="eastAsia" w:ascii="仿宋_GB2312" w:hAnsi="仿宋_GB2312" w:eastAsia="仿宋_GB2312" w:cs="仿宋_GB2312"/>
          <w:color w:val="000000"/>
          <w:kern w:val="0"/>
          <w:sz w:val="32"/>
          <w:szCs w:val="32"/>
          <w:lang w:val="en-US" w:eastAsia="zh-CN" w:bidi="ar"/>
        </w:rPr>
        <w:t>做好政府信息全生命周期管理，</w:t>
      </w:r>
      <w:bookmarkStart w:id="9" w:name="OLE_LINK17"/>
      <w:r>
        <w:rPr>
          <w:rFonts w:hint="eastAsia" w:ascii="仿宋_GB2312" w:hAnsi="仿宋_GB2312" w:eastAsia="仿宋_GB2312" w:cs="仿宋_GB2312"/>
          <w:color w:val="000000"/>
          <w:kern w:val="0"/>
          <w:sz w:val="32"/>
          <w:szCs w:val="32"/>
          <w:lang w:val="en-US" w:eastAsia="zh-CN" w:bidi="ar"/>
        </w:rPr>
        <w:t>开展规范性文件清理工作</w:t>
      </w:r>
      <w:r>
        <w:rPr>
          <w:rFonts w:hint="eastAsia" w:ascii="仿宋_GB2312" w:hAnsi="仿宋_GB2312" w:eastAsia="仿宋_GB2312" w:cs="仿宋_GB2312"/>
          <w:color w:val="000000"/>
          <w:kern w:val="0"/>
          <w:sz w:val="32"/>
          <w:szCs w:val="32"/>
          <w:highlight w:val="none"/>
          <w:lang w:val="en-US" w:eastAsia="zh-CN" w:bidi="ar"/>
        </w:rPr>
        <w:t>，2024年度宣布继续有效的规范性文件25件，废止规范性文件2件，失效规范性文件10件。</w:t>
      </w:r>
      <w:bookmarkEnd w:id="9"/>
      <w:r>
        <w:rPr>
          <w:rFonts w:hint="eastAsia" w:ascii="仿宋_GB2312" w:hAnsi="仿宋_GB2312" w:eastAsia="仿宋_GB2312" w:cs="仿宋_GB2312"/>
          <w:color w:val="000000"/>
          <w:kern w:val="0"/>
          <w:sz w:val="32"/>
          <w:szCs w:val="32"/>
          <w:highlight w:val="none"/>
          <w:lang w:val="en-US" w:eastAsia="zh-CN" w:bidi="ar"/>
        </w:rPr>
        <w:t>严格落实拟公开政府信息的保密审查制度，统筹政务公开安全与保密，全面规范公开方式和范围。</w:t>
      </w:r>
      <w:bookmarkStart w:id="10" w:name="OLE_LINK18"/>
      <w:r>
        <w:rPr>
          <w:rFonts w:hint="eastAsia" w:ascii="仿宋_GB2312" w:hAnsi="仿宋_GB2312" w:eastAsia="仿宋_GB2312" w:cs="仿宋_GB2312"/>
          <w:color w:val="000000"/>
          <w:kern w:val="0"/>
          <w:sz w:val="32"/>
          <w:szCs w:val="32"/>
          <w:highlight w:val="none"/>
          <w:lang w:val="en-US" w:eastAsia="zh-CN" w:bidi="ar"/>
        </w:rPr>
        <w:t>加强公开后的政府信息管理，及时清理失效信息。</w:t>
      </w:r>
    </w:p>
    <w:bookmarkEnd w:id="1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（四）政府信息公开平台建设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Times New Roman" w:hAnsi="Times New Roman" w:eastAsia="仿宋_GB2312"/>
          <w:sz w:val="32"/>
          <w:szCs w:val="32"/>
          <w:lang w:val="en-US" w:eastAsia="zh-CN"/>
        </w:rPr>
        <w:t>2024年，统筹县政府网站政务公开专栏提升改造，新建和优化</w:t>
      </w:r>
      <w:bookmarkStart w:id="11" w:name="OLE_LINK1"/>
      <w:r>
        <w:rPr>
          <w:rFonts w:hint="eastAsia" w:ascii="Times New Roman" w:hAnsi="Times New Roman" w:eastAsia="仿宋_GB2312"/>
          <w:sz w:val="32"/>
          <w:szCs w:val="32"/>
          <w:lang w:val="en-US" w:eastAsia="zh-CN"/>
        </w:rPr>
        <w:t>沂南政务小剧场、依申请公开、行政执法公示等</w:t>
      </w:r>
      <w:r>
        <w:rPr>
          <w:rFonts w:hint="eastAsia" w:ascii="仿宋_GB2312" w:hAnsi="仿宋_GB2312" w:eastAsia="仿宋_GB2312" w:cs="仿宋_GB2312"/>
          <w:color w:val="auto"/>
          <w:kern w:val="2"/>
          <w:sz w:val="32"/>
          <w:szCs w:val="32"/>
          <w:lang w:val="en-US" w:eastAsia="zh-CN" w:bidi="ar-SA"/>
        </w:rPr>
        <w:t>专题专栏8个</w:t>
      </w:r>
      <w:bookmarkEnd w:id="11"/>
      <w:r>
        <w:rPr>
          <w:rFonts w:hint="eastAsia" w:ascii="Times New Roman" w:hAnsi="Times New Roman" w:eastAsia="仿宋_GB2312"/>
          <w:sz w:val="32"/>
          <w:szCs w:val="32"/>
          <w:lang w:val="en-US" w:eastAsia="zh-CN"/>
        </w:rPr>
        <w:t>。</w:t>
      </w:r>
      <w:r>
        <w:rPr>
          <w:rFonts w:hint="eastAsia" w:ascii="仿宋_GB2312" w:hAnsi="仿宋_GB2312" w:eastAsia="仿宋_GB2312" w:cs="仿宋_GB2312"/>
          <w:color w:val="auto"/>
          <w:kern w:val="2"/>
          <w:sz w:val="32"/>
          <w:szCs w:val="32"/>
          <w:lang w:val="en-US" w:eastAsia="zh-CN" w:bidi="ar-SA"/>
        </w:rPr>
        <w:t>在</w:t>
      </w:r>
      <w:bookmarkStart w:id="12" w:name="OLE_LINK13"/>
      <w:r>
        <w:rPr>
          <w:rFonts w:hint="eastAsia" w:ascii="仿宋_GB2312" w:hAnsi="仿宋_GB2312" w:eastAsia="仿宋_GB2312" w:cs="仿宋_GB2312"/>
          <w:color w:val="auto"/>
          <w:kern w:val="2"/>
          <w:sz w:val="32"/>
          <w:szCs w:val="32"/>
          <w:lang w:val="en-US" w:eastAsia="zh-CN" w:bidi="ar-SA"/>
        </w:rPr>
        <w:t>“沂南首发”APP</w:t>
      </w:r>
      <w:bookmarkEnd w:id="12"/>
      <w:bookmarkStart w:id="13" w:name="OLE_LINK14"/>
      <w:r>
        <w:rPr>
          <w:rFonts w:hint="eastAsia" w:ascii="仿宋_GB2312" w:hAnsi="仿宋_GB2312" w:eastAsia="仿宋_GB2312" w:cs="仿宋_GB2312"/>
          <w:color w:val="auto"/>
          <w:kern w:val="2"/>
          <w:sz w:val="32"/>
          <w:szCs w:val="32"/>
          <w:lang w:val="en-US" w:eastAsia="zh-CN" w:bidi="ar-SA"/>
        </w:rPr>
        <w:t>打造“政务号”订阅平台</w:t>
      </w:r>
      <w:bookmarkEnd w:id="13"/>
      <w:r>
        <w:rPr>
          <w:rFonts w:hint="eastAsia" w:ascii="仿宋_GB2312" w:hAnsi="仿宋_GB2312" w:eastAsia="仿宋_GB2312" w:cs="仿宋_GB2312"/>
          <w:color w:val="auto"/>
          <w:kern w:val="2"/>
          <w:sz w:val="32"/>
          <w:szCs w:val="32"/>
          <w:lang w:val="en-US" w:eastAsia="zh-CN" w:bidi="ar-SA"/>
        </w:rPr>
        <w:t>，聚合新闻发布、舆论引导、便民服务等“三大功能平台”，实现政府信息一屏看、一键听。</w:t>
      </w:r>
      <w:r>
        <w:rPr>
          <w:rFonts w:hint="eastAsia" w:ascii="仿宋_GB2312" w:eastAsia="仿宋_GB2312"/>
          <w:sz w:val="32"/>
          <w:szCs w:val="32"/>
        </w:rPr>
        <w:t>规范政务新媒体开设、变更、关停、注销流程</w:t>
      </w:r>
      <w:r>
        <w:rPr>
          <w:rFonts w:hint="eastAsia" w:ascii="仿宋_GB2312" w:eastAsia="仿宋_GB2312"/>
          <w:sz w:val="32"/>
          <w:szCs w:val="32"/>
          <w:lang w:eastAsia="zh-CN"/>
        </w:rPr>
        <w:t>，</w:t>
      </w:r>
      <w:r>
        <w:rPr>
          <w:rFonts w:hint="eastAsia" w:ascii="仿宋_GB2312" w:hAnsi="仿宋_GB2312" w:eastAsia="仿宋_GB2312" w:cs="仿宋_GB2312"/>
          <w:color w:val="auto"/>
          <w:kern w:val="2"/>
          <w:sz w:val="32"/>
          <w:szCs w:val="32"/>
          <w:lang w:val="en-US" w:eastAsia="zh-CN" w:bidi="ar-SA"/>
        </w:rPr>
        <w:t>综合考量新媒体账号日常运维、用户关注、便民服务等情况，</w:t>
      </w:r>
      <w:bookmarkStart w:id="14" w:name="OLE_LINK15"/>
      <w:r>
        <w:rPr>
          <w:rFonts w:hint="eastAsia" w:ascii="仿宋_GB2312" w:hAnsi="仿宋_GB2312" w:eastAsia="仿宋_GB2312" w:cs="仿宋_GB2312"/>
          <w:color w:val="auto"/>
          <w:kern w:val="2"/>
          <w:sz w:val="32"/>
          <w:szCs w:val="32"/>
          <w:lang w:val="en-US" w:eastAsia="zh-CN" w:bidi="ar-SA"/>
        </w:rPr>
        <w:t>关停效能低下政务新媒体账号27个。</w:t>
      </w:r>
      <w:bookmarkEnd w:id="14"/>
      <w:r>
        <w:rPr>
          <w:rFonts w:hint="eastAsia" w:ascii="仿宋_GB2312" w:hAnsi="仿宋_GB2312" w:eastAsia="仿宋_GB2312" w:cs="仿宋_GB2312"/>
          <w:sz w:val="32"/>
          <w:szCs w:val="32"/>
          <w:lang w:val="en-US" w:eastAsia="zh-CN"/>
        </w:rPr>
        <w:t>高质量编辑《沂南县人民政府公报》3期，实现权威发布。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（五）监督保障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组织召开全县政务公开工作推进会议和专题会议，围绕重点领域信息公开、依申请公开、主动公开事项目录编制、政府信息公开年度报告编制、平台建设等方面进行培训。</w:t>
      </w:r>
      <w:bookmarkStart w:id="15" w:name="OLE_LINK21"/>
      <w:r>
        <w:rPr>
          <w:rFonts w:hint="eastAsia" w:ascii="仿宋_GB2312" w:hAnsi="仿宋_GB2312" w:eastAsia="仿宋_GB2312" w:cs="仿宋_GB2312"/>
          <w:color w:val="000000"/>
          <w:kern w:val="0"/>
          <w:sz w:val="32"/>
          <w:szCs w:val="32"/>
          <w:lang w:val="en-US" w:eastAsia="zh-CN" w:bidi="ar"/>
        </w:rPr>
        <w:t>加大对县政府网站和政务新媒体的日常监督检查力度，</w:t>
      </w:r>
      <w:bookmarkEnd w:id="15"/>
      <w:r>
        <w:rPr>
          <w:rFonts w:hint="eastAsia" w:ascii="仿宋_GB2312" w:hAnsi="仿宋_GB2312" w:eastAsia="仿宋_GB2312" w:cs="仿宋_GB2312"/>
          <w:color w:val="000000"/>
          <w:kern w:val="0"/>
          <w:sz w:val="32"/>
          <w:szCs w:val="32"/>
          <w:lang w:val="en-US" w:eastAsia="zh-CN" w:bidi="ar"/>
        </w:rPr>
        <w:t>通过第三方监测和人工自查相结合的方式，及时向责任单位反馈错敏词汇、更新提醒，督促整改存在的突出问题。本年度未发生需责任追究的事项。</w:t>
      </w:r>
    </w:p>
    <w:p>
      <w:pPr>
        <w:pStyle w:val="8"/>
        <w:shd w:val="clear" w:color="auto" w:fill="FFFFFF"/>
        <w:spacing w:before="0" w:beforeAutospacing="0" w:after="0" w:afterAutospacing="0"/>
        <w:ind w:firstLine="640" w:firstLineChars="200"/>
        <w:jc w:val="both"/>
        <w:rPr>
          <w:rFonts w:ascii="黑体" w:hAnsi="黑体" w:eastAsia="黑体" w:cs="黑体"/>
          <w:bCs/>
          <w:color w:val="333333"/>
          <w:sz w:val="32"/>
          <w:szCs w:val="32"/>
        </w:rPr>
      </w:pPr>
      <w:r>
        <w:rPr>
          <w:rFonts w:hint="eastAsia" w:ascii="黑体" w:hAnsi="黑体" w:eastAsia="黑体" w:cs="黑体"/>
          <w:bCs/>
          <w:color w:val="333333"/>
          <w:sz w:val="32"/>
          <w:szCs w:val="32"/>
          <w:shd w:val="clear" w:color="auto" w:fill="FFFFFF"/>
        </w:rPr>
        <w:t>二、主动公开政府信息情况</w:t>
      </w:r>
    </w:p>
    <w:tbl>
      <w:tblPr>
        <w:tblStyle w:val="10"/>
        <w:tblW w:w="9525" w:type="dxa"/>
        <w:tblInd w:w="-339" w:type="dxa"/>
        <w:tblLayout w:type="fixed"/>
        <w:tblCellMar>
          <w:top w:w="0" w:type="dxa"/>
          <w:left w:w="108" w:type="dxa"/>
          <w:bottom w:w="0" w:type="dxa"/>
          <w:right w:w="108" w:type="dxa"/>
        </w:tblCellMar>
      </w:tblPr>
      <w:tblGrid>
        <w:gridCol w:w="2545"/>
        <w:gridCol w:w="2206"/>
        <w:gridCol w:w="2206"/>
        <w:gridCol w:w="2568"/>
      </w:tblGrid>
      <w:tr>
        <w:tblPrEx>
          <w:tblCellMar>
            <w:top w:w="0" w:type="dxa"/>
            <w:left w:w="108" w:type="dxa"/>
            <w:bottom w:w="0" w:type="dxa"/>
            <w:right w:w="108" w:type="dxa"/>
          </w:tblCellMar>
        </w:tblPrEx>
        <w:trPr>
          <w:trHeight w:val="567" w:hRule="atLeast"/>
        </w:trPr>
        <w:tc>
          <w:tcPr>
            <w:tcW w:w="9525" w:type="dxa"/>
            <w:gridSpan w:val="4"/>
            <w:tcBorders>
              <w:top w:val="single" w:color="auto" w:sz="4" w:space="0"/>
              <w:left w:val="single" w:color="auto" w:sz="4" w:space="0"/>
              <w:bottom w:val="single" w:color="auto" w:sz="4" w:space="0"/>
              <w:right w:val="single" w:color="auto" w:sz="4"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lang w:val="en-US" w:eastAsia="zh-CN"/>
              </w:rPr>
            </w:pPr>
            <w:r>
              <w:rPr>
                <w:rFonts w:hint="eastAsia" w:ascii="Times New Roman" w:hAnsi="Times New Roman"/>
                <w:lang w:val="en-US" w:eastAsia="zh-CN"/>
              </w:rPr>
              <w:t>0</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lang w:val="en-US" w:eastAsia="zh-CN"/>
              </w:rPr>
            </w:pPr>
            <w:r>
              <w:rPr>
                <w:rFonts w:hint="eastAsia" w:ascii="Times New Roman" w:hAnsi="Times New Roman"/>
                <w:lang w:val="en-US" w:eastAsia="zh-CN"/>
              </w:rPr>
              <w:t>0</w:t>
            </w:r>
          </w:p>
        </w:tc>
        <w:tc>
          <w:tcPr>
            <w:tcW w:w="2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lang w:val="en-US" w:eastAsia="zh-CN"/>
              </w:rPr>
            </w:pPr>
            <w:r>
              <w:rPr>
                <w:rFonts w:hint="eastAsia" w:ascii="Times New Roman" w:hAnsi="Times New Roman"/>
                <w:lang w:val="en-US" w:eastAsia="zh-CN"/>
              </w:rPr>
              <w:t>0</w:t>
            </w:r>
          </w:p>
        </w:tc>
      </w:tr>
      <w:tr>
        <w:tblPrEx>
          <w:tblCellMar>
            <w:top w:w="0" w:type="dxa"/>
            <w:left w:w="108" w:type="dxa"/>
            <w:bottom w:w="0" w:type="dxa"/>
            <w:right w:w="108" w:type="dxa"/>
          </w:tblCellMar>
        </w:tblPrEx>
        <w:trPr>
          <w:trHeight w:val="567" w:hRule="atLeast"/>
        </w:trPr>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lang w:val="en-US" w:eastAsia="zh-CN"/>
              </w:rPr>
            </w:pPr>
            <w:r>
              <w:rPr>
                <w:rFonts w:hint="eastAsia" w:ascii="Times New Roman" w:hAnsi="Times New Roman"/>
                <w:lang w:val="en-US" w:eastAsia="zh-CN"/>
              </w:rPr>
              <w:t>2</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lang w:val="en-US" w:eastAsia="zh-CN"/>
              </w:rPr>
            </w:pPr>
            <w:r>
              <w:rPr>
                <w:rFonts w:hint="eastAsia" w:ascii="Times New Roman" w:hAnsi="Times New Roman"/>
                <w:lang w:val="en-US" w:eastAsia="zh-CN"/>
              </w:rPr>
              <w:t>2</w:t>
            </w:r>
          </w:p>
        </w:tc>
        <w:tc>
          <w:tcPr>
            <w:tcW w:w="2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lang w:val="en-US" w:eastAsia="zh-CN"/>
              </w:rPr>
            </w:pPr>
            <w:r>
              <w:rPr>
                <w:rFonts w:hint="eastAsia" w:ascii="Times New Roman" w:hAnsi="Times New Roman"/>
                <w:lang w:val="en-US" w:eastAsia="zh-CN"/>
              </w:rPr>
              <w:t>25</w:t>
            </w:r>
          </w:p>
        </w:tc>
      </w:tr>
      <w:tr>
        <w:tblPrEx>
          <w:tblCellMar>
            <w:top w:w="0" w:type="dxa"/>
            <w:left w:w="108" w:type="dxa"/>
            <w:bottom w:w="0" w:type="dxa"/>
            <w:right w:w="108" w:type="dxa"/>
          </w:tblCellMar>
        </w:tblPrEx>
        <w:trPr>
          <w:trHeight w:val="567" w:hRule="atLeast"/>
        </w:trPr>
        <w:tc>
          <w:tcPr>
            <w:tcW w:w="9525" w:type="dxa"/>
            <w:gridSpan w:val="4"/>
            <w:tcBorders>
              <w:top w:val="single" w:color="auto" w:sz="4" w:space="0"/>
              <w:left w:val="single" w:color="auto" w:sz="4" w:space="0"/>
              <w:bottom w:val="single" w:color="auto" w:sz="4" w:space="0"/>
              <w:right w:val="single" w:color="auto" w:sz="4"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r>
              <w:rPr>
                <w:rFonts w:hint="default" w:ascii="Times New Roman" w:hAnsi="Times New Roman"/>
                <w:lang w:val="en-US" w:eastAsia="zh-CN"/>
              </w:rPr>
              <w:t>37773</w:t>
            </w:r>
          </w:p>
        </w:tc>
      </w:tr>
      <w:tr>
        <w:tblPrEx>
          <w:tblCellMar>
            <w:top w:w="0" w:type="dxa"/>
            <w:left w:w="108" w:type="dxa"/>
            <w:bottom w:w="0" w:type="dxa"/>
            <w:right w:w="108" w:type="dxa"/>
          </w:tblCellMar>
        </w:tblPrEx>
        <w:trPr>
          <w:trHeight w:val="567" w:hRule="atLeast"/>
        </w:trPr>
        <w:tc>
          <w:tcPr>
            <w:tcW w:w="9525" w:type="dxa"/>
            <w:gridSpan w:val="4"/>
            <w:tcBorders>
              <w:top w:val="single" w:color="auto" w:sz="4" w:space="0"/>
              <w:left w:val="single" w:color="auto" w:sz="4" w:space="0"/>
              <w:bottom w:val="single" w:color="auto" w:sz="4" w:space="0"/>
              <w:right w:val="single" w:color="auto" w:sz="4"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trPr>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lang w:val="en-US" w:eastAsia="zh-CN"/>
              </w:rPr>
            </w:pPr>
            <w:r>
              <w:rPr>
                <w:rFonts w:hint="default" w:ascii="Times New Roman" w:hAnsi="Times New Roman"/>
                <w:lang w:val="en-US" w:eastAsia="zh-CN"/>
              </w:rPr>
              <w:t>4439</w:t>
            </w:r>
          </w:p>
        </w:tc>
      </w:tr>
      <w:tr>
        <w:tblPrEx>
          <w:tblCellMar>
            <w:top w:w="0" w:type="dxa"/>
            <w:left w:w="108" w:type="dxa"/>
            <w:bottom w:w="0" w:type="dxa"/>
            <w:right w:w="108" w:type="dxa"/>
          </w:tblCellMar>
        </w:tblPrEx>
        <w:trPr>
          <w:trHeight w:val="567" w:hRule="atLeast"/>
        </w:trPr>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lang w:val="en-US" w:eastAsia="zh-CN"/>
              </w:rPr>
            </w:pPr>
            <w:r>
              <w:rPr>
                <w:rFonts w:hint="default" w:ascii="Times New Roman" w:hAnsi="Times New Roman"/>
                <w:lang w:val="en-US" w:eastAsia="zh-CN"/>
              </w:rPr>
              <w:t>1128</w:t>
            </w:r>
          </w:p>
        </w:tc>
      </w:tr>
      <w:tr>
        <w:tblPrEx>
          <w:tblCellMar>
            <w:top w:w="0" w:type="dxa"/>
            <w:left w:w="108" w:type="dxa"/>
            <w:bottom w:w="0" w:type="dxa"/>
            <w:right w:w="108" w:type="dxa"/>
          </w:tblCellMar>
        </w:tblPrEx>
        <w:trPr>
          <w:trHeight w:val="567" w:hRule="atLeast"/>
        </w:trPr>
        <w:tc>
          <w:tcPr>
            <w:tcW w:w="9525" w:type="dxa"/>
            <w:gridSpan w:val="4"/>
            <w:tcBorders>
              <w:top w:val="single" w:color="auto" w:sz="4" w:space="0"/>
              <w:left w:val="single" w:color="auto" w:sz="4" w:space="0"/>
              <w:bottom w:val="single" w:color="auto" w:sz="4" w:space="0"/>
              <w:right w:val="single" w:color="auto" w:sz="4"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trPr>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trPr>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r>
              <w:rPr>
                <w:rFonts w:hint="default" w:ascii="Times New Roman" w:hAnsi="Times New Roman"/>
                <w:lang w:val="en-US" w:eastAsia="zh-CN"/>
              </w:rPr>
              <w:t>7312.87</w:t>
            </w:r>
          </w:p>
        </w:tc>
      </w:tr>
    </w:tbl>
    <w:p>
      <w:pPr>
        <w:ind w:firstLine="640" w:firstLineChars="200"/>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三、收到和处理政府信息公开申请情况</w:t>
      </w:r>
    </w:p>
    <w:tbl>
      <w:tblPr>
        <w:tblStyle w:val="10"/>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87"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454"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87"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752"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001" w:type="dxa"/>
            <w:gridSpan w:val="5"/>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701"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87"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752"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540"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4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26"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701" w:type="dxa"/>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5087"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w:t>
            </w:r>
            <w:bookmarkStart w:id="16" w:name="_Hlk66973412"/>
            <w:r>
              <w:rPr>
                <w:rFonts w:hint="eastAsia" w:ascii="黑体" w:hAnsi="黑体" w:eastAsia="黑体"/>
                <w:color w:val="auto"/>
                <w:kern w:val="0"/>
                <w:szCs w:val="21"/>
              </w:rPr>
              <w:t>本年新收政府信息公开申请数量</w:t>
            </w:r>
            <w:bookmarkEnd w:id="16"/>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color w:val="auto"/>
                <w:lang w:val="en-US" w:eastAsia="zh-CN"/>
              </w:rPr>
            </w:pPr>
            <w:r>
              <w:rPr>
                <w:rFonts w:hint="eastAsia" w:ascii="仿宋_GB2312" w:eastAsia="仿宋_GB2312"/>
                <w:color w:val="auto"/>
                <w:szCs w:val="21"/>
                <w:lang w:val="en-US" w:eastAsia="zh-CN"/>
              </w:rPr>
              <w:t>109</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lang w:val="en-US" w:eastAsia="zh-CN"/>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color w:val="auto"/>
                <w:lang w:val="en-US" w:eastAsia="zh-CN"/>
              </w:rPr>
            </w:pPr>
            <w:r>
              <w:rPr>
                <w:rFonts w:hint="eastAsia" w:ascii="仿宋_GB2312" w:eastAsia="仿宋_GB2312"/>
                <w:color w:val="auto"/>
                <w:szCs w:val="21"/>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5087"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lang w:val="en-US" w:eastAsia="zh-CN"/>
              </w:rPr>
              <w:t>1</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lang w:val="en-US" w:eastAsia="zh-CN"/>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415"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2"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（一）予以公开</w:t>
            </w:r>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color w:val="auto"/>
                <w:lang w:val="en-US" w:eastAsia="zh-CN"/>
              </w:rPr>
            </w:pPr>
            <w:r>
              <w:rPr>
                <w:rFonts w:hint="eastAsia" w:ascii="仿宋_GB2312" w:eastAsia="仿宋_GB2312"/>
                <w:color w:val="auto"/>
                <w:szCs w:val="21"/>
                <w:lang w:val="en-US" w:eastAsia="zh-CN"/>
              </w:rPr>
              <w:t>46</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color w:val="auto"/>
                <w:lang w:val="en-US" w:eastAsia="zh-CN"/>
              </w:rPr>
            </w:pPr>
            <w:r>
              <w:rPr>
                <w:rFonts w:hint="eastAsia" w:ascii="仿宋_GB2312" w:eastAsia="仿宋_GB2312"/>
                <w:color w:val="auto"/>
                <w:szCs w:val="21"/>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4672"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（二）部分公开（</w:t>
            </w:r>
            <w:bookmarkStart w:id="17" w:name="_Hlk66973981"/>
            <w:r>
              <w:rPr>
                <w:rFonts w:hint="eastAsia" w:ascii="黑体" w:hAnsi="黑体" w:eastAsia="黑体"/>
                <w:color w:val="auto"/>
                <w:kern w:val="0"/>
                <w:szCs w:val="21"/>
              </w:rPr>
              <w:t>区分处理的，只计这一情形，不计其他情形</w:t>
            </w:r>
            <w:bookmarkEnd w:id="17"/>
            <w:r>
              <w:rPr>
                <w:rFonts w:hint="eastAsia" w:ascii="黑体" w:hAnsi="黑体" w:eastAsia="黑体"/>
                <w:color w:val="auto"/>
                <w:kern w:val="0"/>
                <w:szCs w:val="21"/>
              </w:rPr>
              <w:t>）</w:t>
            </w:r>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color w:val="auto"/>
                <w:lang w:val="en-US" w:eastAsia="zh-CN"/>
              </w:rPr>
            </w:pPr>
            <w:r>
              <w:rPr>
                <w:rFonts w:hint="eastAsia" w:ascii="仿宋_GB2312" w:eastAsia="仿宋_GB2312"/>
                <w:color w:val="auto"/>
                <w:szCs w:val="21"/>
                <w:lang w:val="en-US" w:eastAsia="zh-CN"/>
              </w:rPr>
              <w:t>33</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eastAsia="仿宋_GB2312"/>
                <w:color w:val="auto"/>
                <w:szCs w:val="21"/>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3" w:type="dxa"/>
            <w:shd w:val="clear" w:color="auto" w:fill="auto"/>
            <w:tcMar>
              <w:left w:w="108" w:type="dxa"/>
              <w:right w:w="108" w:type="dxa"/>
            </w:tcMar>
            <w:vAlign w:val="center"/>
          </w:tcPr>
          <w:p>
            <w:pPr>
              <w:widowControl/>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3" w:type="dxa"/>
            <w:shd w:val="clear" w:color="auto" w:fill="auto"/>
            <w:tcMar>
              <w:left w:w="108" w:type="dxa"/>
              <w:right w:w="108" w:type="dxa"/>
            </w:tcMar>
            <w:vAlign w:val="center"/>
          </w:tcPr>
          <w:p>
            <w:pPr>
              <w:widowControl/>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18" w:name="_Hlk66974104"/>
            <w:r>
              <w:rPr>
                <w:rFonts w:hint="eastAsia" w:ascii="仿宋_GB2312" w:hAnsi="黑体" w:eastAsia="仿宋_GB2312"/>
                <w:color w:val="auto"/>
                <w:kern w:val="0"/>
                <w:szCs w:val="21"/>
              </w:rPr>
              <w:t>其他法律行政法规禁止公开</w:t>
            </w:r>
            <w:bookmarkEnd w:id="18"/>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3" w:type="dxa"/>
            <w:shd w:val="clear" w:color="auto" w:fill="auto"/>
            <w:tcMar>
              <w:left w:w="108" w:type="dxa"/>
              <w:right w:w="108" w:type="dxa"/>
            </w:tcMar>
            <w:vAlign w:val="center"/>
          </w:tcPr>
          <w:p>
            <w:pPr>
              <w:widowControl/>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3" w:type="dxa"/>
            <w:shd w:val="clear" w:color="auto" w:fill="auto"/>
            <w:tcMar>
              <w:left w:w="108" w:type="dxa"/>
              <w:right w:w="108" w:type="dxa"/>
            </w:tcMar>
            <w:vAlign w:val="center"/>
          </w:tcPr>
          <w:p>
            <w:pPr>
              <w:widowControl/>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19" w:name="_Hlk66974290"/>
            <w:r>
              <w:rPr>
                <w:rFonts w:hint="eastAsia" w:ascii="仿宋_GB2312" w:hAnsi="黑体" w:eastAsia="仿宋_GB2312"/>
                <w:color w:val="auto"/>
                <w:kern w:val="0"/>
                <w:szCs w:val="21"/>
              </w:rPr>
              <w:t>保护第三方合法权益</w:t>
            </w:r>
            <w:bookmarkEnd w:id="19"/>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3" w:type="dxa"/>
            <w:shd w:val="clear" w:color="auto" w:fill="auto"/>
            <w:tcMar>
              <w:left w:w="108" w:type="dxa"/>
              <w:right w:w="108" w:type="dxa"/>
            </w:tcMar>
            <w:vAlign w:val="center"/>
          </w:tcPr>
          <w:p>
            <w:pPr>
              <w:widowControl/>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eastAsia="仿宋_GB2312"/>
                <w:szCs w:val="21"/>
                <w:lang w:val="en-US" w:eastAsia="zh-CN"/>
              </w:rPr>
              <w:t>3</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3" w:type="dxa"/>
            <w:shd w:val="clear" w:color="auto" w:fill="auto"/>
            <w:tcMar>
              <w:left w:w="108" w:type="dxa"/>
              <w:right w:w="108" w:type="dxa"/>
            </w:tcMar>
            <w:vAlign w:val="center"/>
          </w:tcPr>
          <w:p>
            <w:pPr>
              <w:widowControl/>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20" w:name="_Hlk66974555"/>
            <w:r>
              <w:rPr>
                <w:rFonts w:hint="eastAsia" w:ascii="仿宋_GB2312" w:hAnsi="黑体" w:eastAsia="仿宋_GB2312"/>
                <w:color w:val="auto"/>
                <w:kern w:val="0"/>
                <w:szCs w:val="21"/>
              </w:rPr>
              <w:t>属于四类过程性信息</w:t>
            </w:r>
            <w:bookmarkEnd w:id="20"/>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3" w:type="dxa"/>
            <w:shd w:val="clear" w:color="auto" w:fill="auto"/>
            <w:tcMar>
              <w:left w:w="108" w:type="dxa"/>
              <w:right w:w="108" w:type="dxa"/>
            </w:tcMar>
            <w:vAlign w:val="center"/>
          </w:tcPr>
          <w:p>
            <w:pPr>
              <w:widowControl/>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eastAsia="仿宋_GB2312"/>
                <w:szCs w:val="21"/>
                <w:lang w:val="en-US" w:eastAsia="zh-CN"/>
              </w:rPr>
              <w:t>1</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3" w:type="dxa"/>
            <w:shd w:val="clear" w:color="auto" w:fill="auto"/>
            <w:tcMar>
              <w:left w:w="108" w:type="dxa"/>
              <w:right w:w="108" w:type="dxa"/>
            </w:tcMar>
            <w:vAlign w:val="center"/>
          </w:tcPr>
          <w:p>
            <w:pPr>
              <w:widowControl/>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21" w:name="_Hlk66975211"/>
            <w:r>
              <w:rPr>
                <w:rFonts w:hint="eastAsia" w:ascii="仿宋_GB2312" w:hAnsi="黑体" w:eastAsia="仿宋_GB2312"/>
                <w:color w:val="auto"/>
                <w:kern w:val="0"/>
                <w:szCs w:val="21"/>
              </w:rPr>
              <w:t>属于行政查询事项</w:t>
            </w:r>
            <w:bookmarkEnd w:id="21"/>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3" w:type="dxa"/>
            <w:shd w:val="clear" w:color="auto" w:fill="auto"/>
            <w:tcMar>
              <w:left w:w="108" w:type="dxa"/>
              <w:right w:w="108" w:type="dxa"/>
            </w:tcMar>
            <w:vAlign w:val="center"/>
          </w:tcPr>
          <w:p>
            <w:pPr>
              <w:widowControl/>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color w:val="auto"/>
                <w:lang w:val="en-US" w:eastAsia="zh-CN"/>
              </w:rPr>
            </w:pPr>
            <w:r>
              <w:rPr>
                <w:rFonts w:hint="eastAsia" w:ascii="仿宋_GB2312" w:eastAsia="仿宋_GB2312"/>
                <w:szCs w:val="21"/>
                <w:lang w:val="en-US" w:eastAsia="zh-CN"/>
              </w:rPr>
              <w:t>20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color w:val="auto"/>
                <w:lang w:val="en-US" w:eastAsia="zh-CN"/>
              </w:rPr>
            </w:pPr>
            <w:r>
              <w:rPr>
                <w:rFonts w:hint="eastAsia" w:ascii="仿宋_GB2312" w:eastAsia="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3" w:type="dxa"/>
            <w:shd w:val="clear" w:color="auto" w:fill="auto"/>
            <w:tcMar>
              <w:left w:w="108" w:type="dxa"/>
              <w:right w:w="108" w:type="dxa"/>
            </w:tcMar>
            <w:vAlign w:val="center"/>
          </w:tcPr>
          <w:p>
            <w:pPr>
              <w:widowControl/>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2" w:name="_Hlk66975392"/>
            <w:r>
              <w:rPr>
                <w:rFonts w:hint="eastAsia" w:ascii="仿宋_GB2312" w:hAnsi="黑体" w:eastAsia="仿宋_GB2312"/>
                <w:color w:val="auto"/>
                <w:kern w:val="0"/>
                <w:szCs w:val="21"/>
              </w:rPr>
              <w:t>没有现成信息需要另行制作</w:t>
            </w:r>
            <w:bookmarkEnd w:id="22"/>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eastAsia="仿宋_GB2312"/>
                <w:szCs w:val="21"/>
                <w:lang w:val="en-US" w:eastAsia="zh-CN"/>
              </w:rPr>
              <w:t>1</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3" w:type="dxa"/>
            <w:shd w:val="clear" w:color="auto" w:fill="auto"/>
            <w:tcMar>
              <w:left w:w="108" w:type="dxa"/>
              <w:right w:w="108" w:type="dxa"/>
            </w:tcMar>
            <w:vAlign w:val="center"/>
          </w:tcPr>
          <w:p>
            <w:pPr>
              <w:widowControl/>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23" w:name="_Hlk66975466"/>
            <w:r>
              <w:rPr>
                <w:rFonts w:hint="eastAsia" w:ascii="仿宋_GB2312" w:hAnsi="黑体" w:eastAsia="仿宋_GB2312"/>
                <w:color w:val="auto"/>
                <w:kern w:val="0"/>
                <w:szCs w:val="21"/>
              </w:rPr>
              <w:t>补正后申请内容仍不明确</w:t>
            </w:r>
            <w:bookmarkEnd w:id="23"/>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3" w:type="dxa"/>
            <w:shd w:val="clear" w:color="auto" w:fill="auto"/>
            <w:tcMar>
              <w:left w:w="108" w:type="dxa"/>
              <w:right w:w="108" w:type="dxa"/>
            </w:tcMar>
            <w:vAlign w:val="center"/>
          </w:tcPr>
          <w:p>
            <w:pPr>
              <w:widowControl/>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24" w:name="_Hlk66975537"/>
            <w:r>
              <w:rPr>
                <w:rFonts w:hint="eastAsia" w:ascii="仿宋_GB2312" w:hAnsi="黑体" w:eastAsia="仿宋_GB2312"/>
                <w:color w:val="auto"/>
                <w:kern w:val="0"/>
                <w:szCs w:val="21"/>
              </w:rPr>
              <w:t>信访举报投诉类申请</w:t>
            </w:r>
            <w:bookmarkEnd w:id="24"/>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3" w:type="dxa"/>
            <w:shd w:val="clear" w:color="auto" w:fill="auto"/>
            <w:tcMar>
              <w:left w:w="108" w:type="dxa"/>
              <w:right w:w="108" w:type="dxa"/>
            </w:tcMar>
            <w:vAlign w:val="center"/>
          </w:tcPr>
          <w:p>
            <w:pPr>
              <w:widowControl/>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eastAsia="仿宋_GB2312"/>
                <w:szCs w:val="21"/>
                <w:lang w:val="en-US" w:eastAsia="zh-CN"/>
              </w:rPr>
              <w:t>1</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3" w:type="dxa"/>
            <w:shd w:val="clear" w:color="auto" w:fill="auto"/>
            <w:tcMar>
              <w:left w:w="108" w:type="dxa"/>
              <w:right w:w="108" w:type="dxa"/>
            </w:tcMar>
            <w:vAlign w:val="center"/>
          </w:tcPr>
          <w:p>
            <w:pPr>
              <w:widowControl/>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3" w:type="dxa"/>
            <w:shd w:val="clear" w:color="auto" w:fill="auto"/>
            <w:tcMar>
              <w:left w:w="108" w:type="dxa"/>
              <w:right w:w="108" w:type="dxa"/>
            </w:tcMar>
            <w:vAlign w:val="center"/>
          </w:tcPr>
          <w:p>
            <w:pPr>
              <w:widowControl/>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3" w:type="dxa"/>
            <w:shd w:val="clear" w:color="auto" w:fill="auto"/>
            <w:tcMar>
              <w:left w:w="108" w:type="dxa"/>
              <w:right w:w="108" w:type="dxa"/>
            </w:tcMar>
            <w:vAlign w:val="center"/>
          </w:tcPr>
          <w:p>
            <w:pPr>
              <w:widowControl/>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3" w:type="dxa"/>
            <w:shd w:val="clear" w:color="auto" w:fill="auto"/>
            <w:vAlign w:val="center"/>
          </w:tcPr>
          <w:p>
            <w:pPr>
              <w:widowControl/>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eastAsia="仿宋_GB2312"/>
                <w:color w:val="auto"/>
                <w:szCs w:val="21"/>
                <w:lang w:val="en-US" w:eastAsia="zh-CN"/>
              </w:rPr>
              <w:t>2</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eastAsia="仿宋_GB2312"/>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3" w:type="dxa"/>
            <w:shd w:val="clear" w:color="auto" w:fill="auto"/>
            <w:vAlign w:val="center"/>
          </w:tcPr>
          <w:p>
            <w:pPr>
              <w:widowControl/>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1699"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3" w:type="dxa"/>
            <w:shd w:val="clear" w:color="auto" w:fill="auto"/>
            <w:vAlign w:val="center"/>
          </w:tcPr>
          <w:p>
            <w:pPr>
              <w:widowControl/>
              <w:rPr>
                <w:rFonts w:ascii="仿宋_GB2312" w:hAnsi="黑体" w:eastAsia="仿宋_GB2312"/>
                <w:color w:val="auto"/>
                <w:kern w:val="0"/>
                <w:szCs w:val="21"/>
              </w:rPr>
            </w:pPr>
            <w:r>
              <w:rPr>
                <w:rFonts w:hint="eastAsia" w:ascii="仿宋_GB2312" w:hAnsi="楷体" w:eastAsia="仿宋_GB2312"/>
                <w:color w:val="auto"/>
              </w:rPr>
              <w:t>3.其他</w:t>
            </w:r>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eastAsia="仿宋_GB2312"/>
                <w:color w:val="auto"/>
                <w:szCs w:val="21"/>
                <w:lang w:val="en-US" w:eastAsia="zh-CN"/>
              </w:rPr>
              <w:t>1</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eastAsia="仿宋_GB2312"/>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415" w:type="dxa"/>
            <w:vMerge w:val="continue"/>
            <w:shd w:val="clear" w:color="auto" w:fill="auto"/>
            <w:tcMar>
              <w:left w:w="108" w:type="dxa"/>
              <w:right w:w="108" w:type="dxa"/>
            </w:tcMar>
            <w:vAlign w:val="center"/>
          </w:tcPr>
          <w:p>
            <w:pPr>
              <w:rPr>
                <w:rFonts w:ascii="黑体" w:hAnsi="黑体" w:eastAsia="黑体"/>
                <w:color w:val="auto"/>
                <w:szCs w:val="21"/>
              </w:rPr>
            </w:pPr>
          </w:p>
        </w:tc>
        <w:tc>
          <w:tcPr>
            <w:tcW w:w="4672"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color w:val="auto"/>
                <w:lang w:val="en-US" w:eastAsia="zh-CN"/>
              </w:rPr>
            </w:pPr>
            <w:r>
              <w:rPr>
                <w:rFonts w:hint="eastAsia" w:ascii="仿宋_GB2312" w:eastAsia="仿宋_GB2312"/>
                <w:color w:val="auto"/>
                <w:szCs w:val="21"/>
                <w:lang w:val="en-US" w:eastAsia="zh-CN"/>
              </w:rPr>
              <w:t>108</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color w:val="auto"/>
                <w:lang w:val="en-US" w:eastAsia="zh-CN"/>
              </w:rPr>
            </w:pPr>
            <w:r>
              <w:rPr>
                <w:rFonts w:hint="eastAsia" w:ascii="仿宋_GB2312" w:eastAsia="仿宋_GB2312"/>
                <w:color w:val="auto"/>
                <w:szCs w:val="21"/>
                <w:highlight w:val="no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087"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752"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eastAsia="仿宋_GB2312"/>
                <w:color w:val="auto"/>
                <w:szCs w:val="21"/>
                <w:lang w:val="en-US" w:eastAsia="zh-CN"/>
              </w:rPr>
              <w:t>2</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20"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675"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526"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hAnsi="Times New Roman" w:eastAsia="仿宋_GB2312"/>
                <w:color w:val="auto"/>
                <w:szCs w:val="21"/>
              </w:rPr>
              <w:t>0</w:t>
            </w:r>
          </w:p>
        </w:tc>
        <w:tc>
          <w:tcPr>
            <w:tcW w:w="701" w:type="dxa"/>
            <w:shd w:val="clear" w:color="auto" w:fill="auto"/>
            <w:tcMar>
              <w:left w:w="108" w:type="dxa"/>
              <w:right w:w="108" w:type="dxa"/>
            </w:tcMar>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color w:val="auto"/>
                <w:lang w:val="en-US" w:eastAsia="zh-CN"/>
              </w:rPr>
            </w:pPr>
            <w:r>
              <w:rPr>
                <w:rFonts w:hint="eastAsia" w:ascii="仿宋_GB2312" w:eastAsia="仿宋_GB2312"/>
                <w:color w:val="auto"/>
                <w:szCs w:val="21"/>
                <w:lang w:val="en-US" w:eastAsia="zh-CN"/>
              </w:rPr>
              <w:t>2</w:t>
            </w:r>
          </w:p>
        </w:tc>
      </w:tr>
    </w:tbl>
    <w:p>
      <w:pPr>
        <w:widowControl/>
        <w:jc w:val="left"/>
        <w:rPr>
          <w:rFonts w:ascii="仿宋_GB2312" w:hAnsi="Calibri" w:eastAsia="仿宋_GB2312" w:cs="Calibri"/>
          <w:color w:val="FF0000"/>
          <w:kern w:val="0"/>
          <w:szCs w:val="21"/>
        </w:rPr>
      </w:pPr>
    </w:p>
    <w:p>
      <w:pPr>
        <w:ind w:firstLine="640" w:firstLineChars="200"/>
        <w:rPr>
          <w:rFonts w:ascii="仿宋_GB2312" w:eastAsia="仿宋_GB2312"/>
          <w:sz w:val="32"/>
          <w:szCs w:val="32"/>
        </w:rPr>
      </w:pPr>
      <w:r>
        <w:rPr>
          <w:rFonts w:hint="eastAsia" w:ascii="黑体" w:hAnsi="黑体" w:eastAsia="黑体" w:cs="黑体"/>
          <w:bCs/>
          <w:color w:val="333333"/>
          <w:kern w:val="0"/>
          <w:sz w:val="32"/>
          <w:szCs w:val="32"/>
          <w:shd w:val="clear" w:color="auto" w:fill="FFFFFF"/>
          <w:lang w:bidi="ar"/>
        </w:rPr>
        <w:t>四、政府信息公开行政复议、行政诉讼情况</w:t>
      </w:r>
    </w:p>
    <w:tbl>
      <w:tblPr>
        <w:tblStyle w:val="10"/>
        <w:tblW w:w="943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1"/>
        <w:gridCol w:w="638"/>
        <w:gridCol w:w="656"/>
        <w:gridCol w:w="638"/>
        <w:gridCol w:w="754"/>
        <w:gridCol w:w="550"/>
        <w:gridCol w:w="605"/>
        <w:gridCol w:w="605"/>
        <w:gridCol w:w="605"/>
        <w:gridCol w:w="605"/>
        <w:gridCol w:w="605"/>
        <w:gridCol w:w="605"/>
        <w:gridCol w:w="605"/>
        <w:gridCol w:w="606"/>
        <w:gridCol w:w="7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27" w:type="dxa"/>
            <w:gridSpan w:val="5"/>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108" w:type="dxa"/>
            <w:gridSpan w:val="10"/>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41"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38"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56"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kern w:val="0"/>
                <w:sz w:val="20"/>
                <w:szCs w:val="20"/>
              </w:rPr>
            </w:pPr>
            <w:r>
              <w:rPr>
                <w:rFonts w:ascii="黑体" w:hAnsi="黑体" w:eastAsia="黑体"/>
                <w:kern w:val="0"/>
                <w:sz w:val="20"/>
                <w:szCs w:val="20"/>
              </w:rPr>
              <w:t>其他</w:t>
            </w:r>
          </w:p>
          <w:p>
            <w:pPr>
              <w:widowControl/>
              <w:ind w:left="-82" w:leftChars="-39" w:right="-97" w:rightChars="-46"/>
              <w:jc w:val="center"/>
              <w:rPr>
                <w:rFonts w:ascii="黑体" w:hAnsi="黑体" w:eastAsia="黑体"/>
              </w:rPr>
            </w:pPr>
            <w:r>
              <w:rPr>
                <w:rFonts w:ascii="黑体" w:hAnsi="黑体" w:eastAsia="黑体"/>
                <w:kern w:val="0"/>
                <w:sz w:val="20"/>
                <w:szCs w:val="20"/>
              </w:rPr>
              <w:t>结果</w:t>
            </w:r>
          </w:p>
        </w:tc>
        <w:tc>
          <w:tcPr>
            <w:tcW w:w="638"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754"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138" w:type="dxa"/>
            <w:gridSpan w:val="5"/>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ascii="黑体" w:hAnsi="黑体" w:eastAsia="黑体"/>
              </w:rPr>
            </w:pPr>
            <w:bookmarkStart w:id="25" w:name="_Hlk67039688"/>
            <w:r>
              <w:rPr>
                <w:rFonts w:ascii="黑体" w:hAnsi="黑体" w:eastAsia="黑体"/>
                <w:kern w:val="0"/>
                <w:sz w:val="20"/>
                <w:szCs w:val="20"/>
              </w:rPr>
              <w:t>复议后起诉</w:t>
            </w:r>
            <w:bookmarkEnd w:id="25"/>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41"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黑体" w:hAnsi="黑体" w:eastAsia="黑体"/>
                <w:sz w:val="24"/>
              </w:rPr>
            </w:pPr>
          </w:p>
        </w:tc>
        <w:tc>
          <w:tcPr>
            <w:tcW w:w="63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黑体" w:hAnsi="黑体" w:eastAsia="黑体"/>
                <w:sz w:val="24"/>
              </w:rPr>
            </w:pPr>
          </w:p>
        </w:tc>
        <w:tc>
          <w:tcPr>
            <w:tcW w:w="65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黑体" w:hAnsi="黑体" w:eastAsia="黑体"/>
                <w:sz w:val="24"/>
              </w:rPr>
            </w:pPr>
          </w:p>
        </w:tc>
        <w:tc>
          <w:tcPr>
            <w:tcW w:w="63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黑体" w:hAnsi="黑体" w:eastAsia="黑体"/>
                <w:sz w:val="24"/>
              </w:rPr>
            </w:pPr>
          </w:p>
        </w:tc>
        <w:tc>
          <w:tcPr>
            <w:tcW w:w="75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黑体" w:hAnsi="黑体" w:eastAsia="黑体"/>
                <w:sz w:val="24"/>
              </w:rPr>
            </w:pPr>
          </w:p>
        </w:tc>
        <w:tc>
          <w:tcPr>
            <w:tcW w:w="5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7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default" w:ascii="Times New Roman" w:hAnsi="Times New Roman"/>
                <w:lang w:val="en-US" w:eastAsia="zh-CN"/>
              </w:rPr>
            </w:pPr>
            <w:r>
              <w:rPr>
                <w:rFonts w:hint="eastAsia" w:ascii="Times New Roman" w:hAnsi="Times New Roman"/>
                <w:lang w:val="en-US" w:eastAsia="zh-CN"/>
              </w:rPr>
              <w:t>1</w:t>
            </w:r>
          </w:p>
        </w:tc>
        <w:tc>
          <w:tcPr>
            <w:tcW w:w="6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default" w:ascii="Times New Roman" w:hAnsi="Times New Roman"/>
                <w:lang w:val="en-US" w:eastAsia="zh-CN"/>
              </w:rPr>
            </w:pPr>
            <w:r>
              <w:rPr>
                <w:rFonts w:hint="eastAsia" w:ascii="Times New Roman" w:hAnsi="Times New Roman"/>
                <w:lang w:val="en-US" w:eastAsia="zh-CN"/>
              </w:rPr>
              <w:t>3</w:t>
            </w:r>
          </w:p>
        </w:tc>
        <w:tc>
          <w:tcPr>
            <w:tcW w:w="65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default" w:ascii="Times New Roman" w:hAnsi="Times New Roman"/>
                <w:lang w:val="en-US" w:eastAsia="zh-CN"/>
              </w:rPr>
            </w:pPr>
            <w:r>
              <w:rPr>
                <w:rFonts w:hint="eastAsia" w:ascii="Times New Roman" w:hAnsi="Times New Roman"/>
                <w:lang w:val="en-US" w:eastAsia="zh-CN"/>
              </w:rPr>
              <w:t>4</w:t>
            </w:r>
          </w:p>
        </w:tc>
        <w:tc>
          <w:tcPr>
            <w:tcW w:w="63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default" w:ascii="Times New Roman" w:hAnsi="Times New Roman"/>
                <w:lang w:val="en-US" w:eastAsia="zh-CN"/>
              </w:rPr>
            </w:pPr>
            <w:r>
              <w:rPr>
                <w:rFonts w:hint="eastAsia" w:ascii="Times New Roman" w:hAnsi="Times New Roman"/>
                <w:lang w:val="en-US" w:eastAsia="zh-CN"/>
              </w:rPr>
              <w:t>0</w:t>
            </w:r>
          </w:p>
        </w:tc>
        <w:tc>
          <w:tcPr>
            <w:tcW w:w="7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default" w:ascii="Times New Roman" w:hAnsi="Times New Roman"/>
                <w:lang w:val="en-US" w:eastAsia="zh-CN"/>
              </w:rPr>
            </w:pPr>
            <w:r>
              <w:rPr>
                <w:rFonts w:hint="eastAsia" w:ascii="Times New Roman" w:hAnsi="Times New Roman"/>
                <w:lang w:val="en-US" w:eastAsia="zh-CN"/>
              </w:rPr>
              <w:t>8</w:t>
            </w:r>
          </w:p>
        </w:tc>
        <w:tc>
          <w:tcPr>
            <w:tcW w:w="5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eastAsia" w:ascii="Times New Roman" w:hAnsi="Times New Roman"/>
                <w:lang w:val="en-US" w:eastAsia="zh-CN"/>
              </w:rPr>
            </w:pPr>
            <w:r>
              <w:rPr>
                <w:rFonts w:hint="eastAsia" w:ascii="Times New Roman" w:hAnsi="Times New Roman"/>
                <w:lang w:val="en-US" w:eastAsia="zh-CN"/>
              </w:rPr>
              <w:t>1</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eastAsia" w:ascii="Times New Roman" w:hAnsi="Times New Roman"/>
                <w:lang w:val="en-US" w:eastAsia="zh-CN"/>
              </w:rPr>
            </w:pPr>
            <w:r>
              <w:rPr>
                <w:rFonts w:hint="eastAsia" w:ascii="Times New Roman" w:hAnsi="Times New Roman"/>
                <w:lang w:val="en-US" w:eastAsia="zh-CN"/>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eastAsia" w:ascii="Times New Roman" w:hAnsi="Times New Roman"/>
                <w:lang w:val="en-US" w:eastAsia="zh-CN"/>
              </w:rPr>
            </w:pPr>
            <w:r>
              <w:rPr>
                <w:rFonts w:hint="eastAsia" w:ascii="Times New Roman" w:hAnsi="Times New Roman"/>
                <w:lang w:val="en-US" w:eastAsia="zh-CN"/>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eastAsia" w:ascii="Times New Roman" w:hAnsi="Times New Roman"/>
                <w:lang w:val="en-US" w:eastAsia="zh-CN"/>
              </w:rPr>
            </w:pPr>
            <w:r>
              <w:rPr>
                <w:rFonts w:hint="eastAsia" w:ascii="Times New Roman" w:hAnsi="Times New Roman"/>
                <w:lang w:val="en-US" w:eastAsia="zh-CN"/>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eastAsia" w:ascii="Times New Roman" w:hAnsi="Times New Roman"/>
                <w:lang w:val="en-US" w:eastAsia="zh-CN"/>
              </w:rPr>
            </w:pPr>
            <w:r>
              <w:rPr>
                <w:rFonts w:hint="eastAsia" w:ascii="Times New Roman" w:hAnsi="Times New Roman"/>
                <w:lang w:val="en-US" w:eastAsia="zh-CN"/>
              </w:rPr>
              <w:t>1</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default" w:ascii="Times New Roman" w:hAnsi="Times New Roman"/>
                <w:lang w:val="en-US" w:eastAsia="zh-CN"/>
              </w:rPr>
            </w:pPr>
            <w:r>
              <w:rPr>
                <w:rFonts w:hint="eastAsia" w:ascii="Times New Roman" w:hAnsi="Times New Roman"/>
                <w:lang w:val="en-US" w:eastAsia="zh-CN"/>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default" w:ascii="Times New Roman" w:hAnsi="Times New Roman"/>
                <w:lang w:val="en-US" w:eastAsia="zh-CN"/>
              </w:rPr>
            </w:pPr>
            <w:r>
              <w:rPr>
                <w:rFonts w:hint="eastAsia" w:ascii="Times New Roman" w:hAnsi="Times New Roman"/>
                <w:lang w:val="en-US" w:eastAsia="zh-CN"/>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default" w:ascii="Times New Roman" w:hAnsi="Times New Roman"/>
                <w:lang w:val="en-US" w:eastAsia="zh-CN"/>
              </w:rPr>
            </w:pPr>
            <w:r>
              <w:rPr>
                <w:rFonts w:hint="eastAsia" w:ascii="Times New Roman" w:hAnsi="Times New Roman"/>
                <w:lang w:val="en-US" w:eastAsia="zh-CN"/>
              </w:rPr>
              <w:t>0</w:t>
            </w:r>
          </w:p>
        </w:tc>
        <w:tc>
          <w:tcPr>
            <w:tcW w:w="60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default" w:ascii="Times New Roman" w:hAnsi="Times New Roman"/>
                <w:lang w:val="en-US" w:eastAsia="zh-CN"/>
              </w:rPr>
            </w:pPr>
            <w:r>
              <w:rPr>
                <w:rFonts w:hint="eastAsia" w:ascii="Times New Roman" w:hAnsi="Times New Roman"/>
                <w:lang w:val="en-US" w:eastAsia="zh-CN"/>
              </w:rPr>
              <w:t>0</w:t>
            </w:r>
          </w:p>
        </w:tc>
        <w:tc>
          <w:tcPr>
            <w:tcW w:w="7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default" w:ascii="Times New Roman" w:hAnsi="Times New Roman"/>
                <w:lang w:val="en-US" w:eastAsia="zh-CN"/>
              </w:rPr>
            </w:pPr>
            <w:r>
              <w:rPr>
                <w:rFonts w:hint="eastAsia" w:ascii="Times New Roman" w:hAnsi="Times New Roman"/>
                <w:lang w:val="en-US" w:eastAsia="zh-CN"/>
              </w:rPr>
              <w:t>0</w:t>
            </w:r>
          </w:p>
        </w:tc>
      </w:tr>
    </w:tbl>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outlineLvl w:val="9"/>
        <w:rPr>
          <w:rFonts w:ascii="黑体" w:hAnsi="黑体" w:eastAsia="黑体" w:cs="黑体"/>
          <w:bCs/>
          <w:color w:val="333333"/>
          <w:sz w:val="32"/>
          <w:szCs w:val="32"/>
          <w:shd w:val="clear" w:color="auto" w:fill="FFFFFF"/>
          <w:lang w:bidi="ar"/>
        </w:rPr>
      </w:pPr>
      <w:r>
        <w:rPr>
          <w:rFonts w:hint="eastAsia" w:ascii="黑体" w:hAnsi="黑体" w:eastAsia="黑体" w:cs="黑体"/>
          <w:bCs/>
          <w:color w:val="333333"/>
          <w:sz w:val="32"/>
          <w:szCs w:val="32"/>
          <w:shd w:val="clear" w:color="auto" w:fill="FFFFFF"/>
          <w:lang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line="556" w:lineRule="exact"/>
        <w:ind w:firstLine="640" w:firstLineChars="200"/>
        <w:jc w:val="both"/>
        <w:textAlignment w:val="auto"/>
        <w:outlineLvl w:val="9"/>
        <w:rPr>
          <w:rFonts w:hint="default"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（一）存在问题 </w:t>
      </w:r>
    </w:p>
    <w:p>
      <w:pPr>
        <w:keepNext w:val="0"/>
        <w:keepLines w:val="0"/>
        <w:pageBreakBefore w:val="0"/>
        <w:widowControl w:val="0"/>
        <w:suppressLineNumbers w:val="0"/>
        <w:kinsoku/>
        <w:wordWrap w:val="0"/>
        <w:overflowPunct/>
        <w:topLinePunct w:val="0"/>
        <w:autoSpaceDE/>
        <w:autoSpaceDN/>
        <w:bidi w:val="0"/>
        <w:adjustRightInd/>
        <w:snapToGrid/>
        <w:spacing w:line="556" w:lineRule="exact"/>
        <w:ind w:firstLine="640" w:firstLineChars="200"/>
        <w:jc w:val="both"/>
        <w:textAlignment w:val="auto"/>
        <w:outlineLvl w:val="9"/>
        <w:rPr>
          <w:rFonts w:hint="default" w:eastAsia="仿宋_GB2312"/>
          <w:lang w:val="en-US" w:eastAsia="zh-CN"/>
        </w:rPr>
      </w:pPr>
      <w:r>
        <w:rPr>
          <w:rFonts w:hint="eastAsia" w:ascii="仿宋_GB2312" w:hAnsi="仿宋_GB2312" w:eastAsia="仿宋_GB2312" w:cs="仿宋_GB2312"/>
          <w:color w:val="000000"/>
          <w:kern w:val="0"/>
          <w:sz w:val="32"/>
          <w:szCs w:val="32"/>
          <w:lang w:val="en-US" w:eastAsia="zh-CN" w:bidi="ar"/>
        </w:rPr>
        <w:t>一是</w:t>
      </w:r>
      <w:bookmarkStart w:id="26" w:name="OLE_LINK6"/>
      <w:r>
        <w:rPr>
          <w:rFonts w:hint="eastAsia" w:ascii="仿宋_GB2312" w:hAnsi="仿宋_GB2312" w:eastAsia="仿宋_GB2312" w:cs="仿宋_GB2312"/>
          <w:color w:val="000000"/>
          <w:kern w:val="0"/>
          <w:sz w:val="32"/>
          <w:szCs w:val="32"/>
          <w:lang w:val="en-US" w:eastAsia="zh-CN" w:bidi="ar"/>
        </w:rPr>
        <w:t>县政府网站的</w:t>
      </w:r>
      <w:r>
        <w:rPr>
          <w:rFonts w:hint="eastAsia" w:ascii="仿宋_GB2312" w:hAnsi="宋体" w:eastAsia="仿宋_GB2312" w:cs="仿宋_GB2312"/>
          <w:i w:val="0"/>
          <w:iCs w:val="0"/>
          <w:caps w:val="0"/>
          <w:color w:val="000000"/>
          <w:spacing w:val="0"/>
          <w:sz w:val="32"/>
          <w:szCs w:val="32"/>
          <w:lang w:val="en-US" w:eastAsia="zh-CN"/>
        </w:rPr>
        <w:t>页面</w:t>
      </w:r>
      <w:r>
        <w:rPr>
          <w:rFonts w:ascii="仿宋_GB2312" w:hAnsi="宋体" w:eastAsia="仿宋_GB2312" w:cs="仿宋_GB2312"/>
          <w:i w:val="0"/>
          <w:iCs w:val="0"/>
          <w:caps w:val="0"/>
          <w:color w:val="000000"/>
          <w:spacing w:val="0"/>
          <w:sz w:val="32"/>
          <w:szCs w:val="32"/>
        </w:rPr>
        <w:t>设计、栏目布局</w:t>
      </w:r>
      <w:r>
        <w:rPr>
          <w:rFonts w:hint="eastAsia" w:ascii="仿宋_GB2312" w:hAnsi="仿宋_GB2312" w:eastAsia="仿宋_GB2312" w:cs="仿宋_GB2312"/>
          <w:color w:val="000000"/>
          <w:kern w:val="0"/>
          <w:sz w:val="32"/>
          <w:szCs w:val="32"/>
          <w:lang w:val="en-US" w:eastAsia="zh-CN" w:bidi="ar"/>
        </w:rPr>
        <w:t>等方面有待进一步提升</w:t>
      </w:r>
      <w:bookmarkEnd w:id="26"/>
      <w:r>
        <w:rPr>
          <w:rFonts w:hint="eastAsia" w:ascii="仿宋_GB2312" w:hAnsi="仿宋_GB2312" w:eastAsia="仿宋_GB2312" w:cs="仿宋_GB2312"/>
          <w:color w:val="000000"/>
          <w:kern w:val="0"/>
          <w:sz w:val="32"/>
          <w:szCs w:val="32"/>
          <w:lang w:val="en-US" w:eastAsia="zh-CN" w:bidi="ar"/>
        </w:rPr>
        <w:t>，存在网站首页与政务公开页面不协调的问题。二是因</w:t>
      </w:r>
      <w:r>
        <w:rPr>
          <w:rFonts w:hint="eastAsia" w:ascii="仿宋_GB2312" w:hAnsi="黑体" w:eastAsia="仿宋_GB2312" w:cs="Times New Roman"/>
          <w:sz w:val="32"/>
          <w:szCs w:val="32"/>
        </w:rPr>
        <w:t>负责</w:t>
      </w:r>
      <w:bookmarkStart w:id="27" w:name="OLE_LINK3"/>
      <w:r>
        <w:rPr>
          <w:rFonts w:hint="eastAsia" w:ascii="仿宋_GB2312" w:hAnsi="黑体" w:eastAsia="仿宋_GB2312" w:cs="Times New Roman"/>
          <w:sz w:val="32"/>
          <w:szCs w:val="32"/>
        </w:rPr>
        <w:t>政务公开的人员</w:t>
      </w:r>
      <w:bookmarkEnd w:id="27"/>
      <w:r>
        <w:rPr>
          <w:rFonts w:hint="eastAsia" w:ascii="仿宋_GB2312" w:hAnsi="黑体" w:eastAsia="仿宋_GB2312" w:cs="Times New Roman"/>
          <w:sz w:val="32"/>
          <w:szCs w:val="32"/>
        </w:rPr>
        <w:t>多为兼职</w:t>
      </w:r>
      <w:r>
        <w:rPr>
          <w:rFonts w:hint="eastAsia" w:ascii="仿宋_GB2312" w:hAnsi="黑体" w:eastAsia="仿宋_GB2312" w:cs="Times New Roman"/>
          <w:sz w:val="32"/>
          <w:szCs w:val="32"/>
          <w:lang w:val="en-US" w:eastAsia="zh-CN"/>
        </w:rPr>
        <w:t>和</w:t>
      </w:r>
      <w:r>
        <w:rPr>
          <w:rFonts w:hint="eastAsia" w:ascii="仿宋_GB2312" w:hAnsi="黑体" w:eastAsia="仿宋_GB2312" w:cs="Times New Roman"/>
          <w:sz w:val="32"/>
          <w:szCs w:val="32"/>
        </w:rPr>
        <w:t>经常变动</w:t>
      </w:r>
      <w:r>
        <w:rPr>
          <w:rFonts w:hint="eastAsia" w:ascii="仿宋_GB2312" w:hAnsi="黑体" w:eastAsia="仿宋_GB2312" w:cs="Times New Roman"/>
          <w:sz w:val="32"/>
          <w:szCs w:val="32"/>
          <w:lang w:eastAsia="zh-CN"/>
        </w:rPr>
        <w:t>，</w:t>
      </w:r>
      <w:bookmarkStart w:id="28" w:name="OLE_LINK2"/>
      <w:r>
        <w:rPr>
          <w:rFonts w:hint="eastAsia" w:ascii="仿宋_GB2312" w:hAnsi="黑体" w:eastAsia="仿宋_GB2312" w:cs="Times New Roman"/>
          <w:sz w:val="32"/>
          <w:szCs w:val="32"/>
          <w:lang w:val="en-US" w:eastAsia="zh-CN"/>
        </w:rPr>
        <w:t>每年组织的</w:t>
      </w:r>
      <w:r>
        <w:rPr>
          <w:rFonts w:hint="eastAsia" w:ascii="仿宋_GB2312" w:hAnsi="仿宋_GB2312" w:eastAsia="仿宋_GB2312" w:cs="仿宋_GB2312"/>
          <w:color w:val="000000"/>
          <w:kern w:val="0"/>
          <w:sz w:val="32"/>
          <w:szCs w:val="32"/>
          <w:lang w:val="en-US" w:eastAsia="zh-CN" w:bidi="ar"/>
        </w:rPr>
        <w:t>培训会议效果不理想</w:t>
      </w:r>
      <w:bookmarkEnd w:id="28"/>
      <w:r>
        <w:rPr>
          <w:rFonts w:hint="eastAsia" w:ascii="仿宋_GB2312" w:hAnsi="仿宋_GB2312" w:eastAsia="仿宋_GB2312" w:cs="仿宋_GB2312"/>
          <w:color w:val="000000"/>
          <w:kern w:val="0"/>
          <w:sz w:val="32"/>
          <w:szCs w:val="32"/>
          <w:lang w:val="en-US" w:eastAsia="zh-CN" w:bidi="ar"/>
        </w:rPr>
        <w:t>，个别部门培训后还会出现公开内容不清楚、格式标准不明确等情况。</w:t>
      </w:r>
    </w:p>
    <w:p>
      <w:pPr>
        <w:keepNext w:val="0"/>
        <w:keepLines w:val="0"/>
        <w:pageBreakBefore w:val="0"/>
        <w:widowControl/>
        <w:suppressLineNumbers w:val="0"/>
        <w:kinsoku/>
        <w:wordWrap/>
        <w:overflowPunct/>
        <w:topLinePunct w:val="0"/>
        <w:autoSpaceDE/>
        <w:autoSpaceDN/>
        <w:bidi w:val="0"/>
        <w:adjustRightInd/>
        <w:snapToGrid/>
        <w:spacing w:line="556" w:lineRule="exact"/>
        <w:ind w:firstLine="640" w:firstLineChars="200"/>
        <w:jc w:val="both"/>
        <w:textAlignment w:val="auto"/>
        <w:outlineLvl w:val="9"/>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（二）改进情况</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一是</w:t>
      </w:r>
      <w:r>
        <w:rPr>
          <w:rFonts w:hint="eastAsia" w:ascii="仿宋_GB2312" w:hAnsi="仿宋_GB2312" w:eastAsia="仿宋_GB2312" w:cs="仿宋_GB2312"/>
          <w:color w:val="auto"/>
          <w:kern w:val="2"/>
          <w:sz w:val="32"/>
          <w:szCs w:val="32"/>
          <w:lang w:val="en-US" w:eastAsia="zh-CN" w:bidi="ar-SA"/>
        </w:rPr>
        <w:t>以县政府网站改版上线为契机，学习优秀网站做法，站在便于群众查询和使用的角度，调整政务公开页面设计，优化栏目布局，增加沂南特色元素，新增和完善</w:t>
      </w:r>
      <w:r>
        <w:rPr>
          <w:rFonts w:hint="eastAsia" w:ascii="Times New Roman" w:hAnsi="Times New Roman" w:eastAsia="仿宋_GB2312"/>
          <w:sz w:val="32"/>
          <w:szCs w:val="32"/>
          <w:lang w:val="en-US" w:eastAsia="zh-CN"/>
        </w:rPr>
        <w:t>沂南政务小剧场、依申请公开、行政执法公示等</w:t>
      </w:r>
      <w:r>
        <w:rPr>
          <w:rFonts w:hint="eastAsia" w:ascii="仿宋_GB2312" w:hAnsi="仿宋_GB2312" w:eastAsia="仿宋_GB2312" w:cs="仿宋_GB2312"/>
          <w:color w:val="auto"/>
          <w:kern w:val="2"/>
          <w:sz w:val="32"/>
          <w:szCs w:val="32"/>
          <w:lang w:val="en-US" w:eastAsia="zh-CN" w:bidi="ar-SA"/>
        </w:rPr>
        <w:t>专题专栏</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二是</w:t>
      </w:r>
      <w:bookmarkStart w:id="29" w:name="OLE_LINK4"/>
      <w:r>
        <w:rPr>
          <w:rFonts w:hint="eastAsia" w:ascii="仿宋_GB2312" w:hAnsi="仿宋_GB2312" w:eastAsia="仿宋_GB2312" w:cs="仿宋_GB2312"/>
          <w:color w:val="000000"/>
          <w:kern w:val="0"/>
          <w:sz w:val="32"/>
          <w:szCs w:val="32"/>
          <w:lang w:val="en-US" w:eastAsia="zh-CN" w:bidi="ar"/>
        </w:rPr>
        <w:t>丰富培训形式</w:t>
      </w:r>
      <w:bookmarkEnd w:id="29"/>
      <w:r>
        <w:rPr>
          <w:rFonts w:hint="eastAsia" w:ascii="仿宋_GB2312" w:hAnsi="仿宋_GB2312" w:eastAsia="仿宋_GB2312" w:cs="仿宋_GB2312"/>
          <w:color w:val="000000"/>
          <w:kern w:val="0"/>
          <w:sz w:val="32"/>
          <w:szCs w:val="32"/>
          <w:lang w:val="en-US" w:eastAsia="zh-CN" w:bidi="ar"/>
        </w:rPr>
        <w:t>，对薄弱乡镇、部门除日常指导督促外，采取“一对一培训”“现场指导”和短视频培训等方式，提高学习效果。制定《县政府网站栏目操作手册》，汇集操作流程及常见注意事项等，全面提升工作人员业务水平。</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outlineLvl w:val="9"/>
        <w:rPr>
          <w:rFonts w:ascii="黑体" w:hAnsi="黑体" w:eastAsia="黑体" w:cs="黑体"/>
          <w:bCs/>
          <w:color w:val="333333"/>
          <w:sz w:val="32"/>
          <w:szCs w:val="32"/>
          <w:shd w:val="clear" w:color="auto" w:fill="FFFFFF"/>
          <w:lang w:bidi="ar"/>
        </w:rPr>
      </w:pPr>
      <w:r>
        <w:rPr>
          <w:rFonts w:hint="eastAsia" w:ascii="黑体" w:hAnsi="黑体" w:eastAsia="黑体" w:cs="黑体"/>
          <w:bCs/>
          <w:color w:val="333333"/>
          <w:sz w:val="32"/>
          <w:szCs w:val="32"/>
          <w:shd w:val="clear" w:color="auto" w:fill="FFFFFF"/>
          <w:lang w:bidi="ar"/>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（一）依据《政府信息公开信息处理费管理办法》收取信息处理费的情况</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2024年度，未收取政府信息公开信息处理费。</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(二)本行政机关落实上级年度政务公开工作要点情况</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outlineLvl w:val="9"/>
        <w:rPr>
          <w:rFonts w:hint="default" w:ascii="仿宋_GB2312" w:hAnsi="仿宋_GB2312" w:eastAsia="仿宋_GB2312" w:cs="仿宋_GB2312"/>
          <w:color w:val="0000FF"/>
          <w:kern w:val="0"/>
          <w:sz w:val="32"/>
          <w:szCs w:val="32"/>
          <w:lang w:val="en-US" w:eastAsia="zh-CN" w:bidi="ar"/>
        </w:rPr>
      </w:pPr>
      <w:r>
        <w:rPr>
          <w:rFonts w:hint="eastAsia" w:ascii="仿宋_GB2312" w:hAnsi="仿宋_GB2312" w:eastAsia="仿宋_GB2312" w:cs="仿宋_GB2312"/>
          <w:sz w:val="32"/>
          <w:szCs w:val="32"/>
          <w:lang w:val="en-US" w:eastAsia="zh-CN"/>
        </w:rPr>
        <w:t>认真贯彻落实《2024年山东省政务公开工作要点》和《2024年临沂市政务公开工作要点》，制定《2024年沂南县政务公开工作要点》，</w:t>
      </w:r>
      <w:r>
        <w:rPr>
          <w:rFonts w:hint="eastAsia" w:ascii="仿宋_GB2312" w:hAnsi="仿宋_GB2312" w:eastAsia="仿宋_GB2312" w:cs="仿宋_GB2312"/>
          <w:b w:val="0"/>
          <w:color w:val="auto"/>
          <w:kern w:val="2"/>
          <w:sz w:val="32"/>
          <w:szCs w:val="32"/>
          <w:lang w:val="en-US" w:eastAsia="zh-CN" w:bidi="ar-SA"/>
        </w:rPr>
        <w:t>提出深化重点领域信息公开、加大政策公开和解读、提高依申请公开办理质效等6个方面60项任务</w:t>
      </w:r>
      <w:r>
        <w:rPr>
          <w:rFonts w:hint="eastAsia" w:ascii="仿宋_GB2312" w:hAnsi="仿宋_GB2312" w:eastAsia="仿宋_GB2312" w:cs="仿宋_GB2312"/>
          <w:sz w:val="32"/>
          <w:szCs w:val="32"/>
          <w:lang w:val="en-US" w:eastAsia="zh-CN"/>
        </w:rPr>
        <w:t>，梳理形成工作配档表，实时跟进推动。根据要求，继续深化重点领域信息公开，加强政策解读回应，规范依申请公开办理，推进县级依申请公开数字化管理平台建设，落实重大行政决策全流程公开，积极开展政府开放日活动。不断完善政府网站站内检索，规范升级现有政务公开专区，推动公开与服务深度融合。2024年，</w:t>
      </w:r>
      <w:r>
        <w:rPr>
          <w:rFonts w:hint="eastAsia" w:ascii="仿宋_GB2312" w:hAnsi="仿宋_GB2312" w:eastAsia="仿宋_GB2312" w:cs="仿宋_GB2312"/>
          <w:color w:val="auto"/>
          <w:kern w:val="2"/>
          <w:sz w:val="32"/>
          <w:szCs w:val="32"/>
          <w:lang w:val="en-US" w:eastAsia="zh-CN" w:bidi="ar-SA"/>
        </w:rPr>
        <w:t>县政府网站年度浏览量达1264681人次，较去年提升90%，群众使用率和认可度进一步提升。</w:t>
      </w:r>
      <w:r>
        <w:rPr>
          <w:rFonts w:hint="eastAsia" w:ascii="Times New Roman" w:hAnsi="Times New Roman" w:eastAsia="仿宋_GB2312" w:cs="Times New Roman"/>
          <w:b w:val="0"/>
          <w:bCs w:val="0"/>
          <w:sz w:val="32"/>
          <w:szCs w:val="32"/>
          <w:lang w:val="en-US" w:eastAsia="zh-CN"/>
        </w:rPr>
        <w:t>县政府网站在全国优秀政务平台推荐评估工作中获评“2024年度中国优秀政务网站”。</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（三）本行政机关人大代表建议和政协提案办理结果公开情况</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2024年度，县政府办公室共办理人大代表建议107件、政协委员提案303件，办复</w:t>
      </w:r>
      <w:r>
        <w:rPr>
          <w:rFonts w:hint="eastAsia" w:ascii="仿宋_GB2312" w:hAnsi="仿宋_GB2312" w:eastAsia="仿宋_GB2312" w:cs="仿宋_GB2312"/>
          <w:color w:val="000000"/>
          <w:kern w:val="0"/>
          <w:sz w:val="32"/>
          <w:szCs w:val="32"/>
          <w:lang w:val="en-US" w:eastAsia="zh-CN" w:bidi="ar"/>
        </w:rPr>
        <w:t>率均为100%，除涉及国家秘密、工作秘密的，建议提案办理复文或摘要以及办理总体情况均在沂南县人民政府网站建议提案办理情况专栏予以公开。</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(四)本行政机关年度政务公开工作创新情况</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outlineLvl w:val="9"/>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聚焦“质量、成效”，抓实政策解读回应</w:t>
      </w:r>
      <w:r>
        <w:rPr>
          <w:rFonts w:hint="eastAsia" w:ascii="Times New Roman" w:hAnsi="Times New Roman" w:eastAsia="仿宋_GB2312" w:cs="Times New Roman"/>
          <w:b w:val="0"/>
          <w:bCs w:val="0"/>
          <w:sz w:val="32"/>
          <w:szCs w:val="32"/>
          <w:lang w:val="en-US" w:eastAsia="zh-CN"/>
        </w:rPr>
        <w:t>。围绕经济发展、招商引资、乡村振兴、保障改善民生等方面政策，通过新闻发布会、在线访谈等形式，要求部门主要负责人、政策参与制定者带头讲政策。采用情景剧方式，以贴近生活的案例，深入讲解政策内容，便于群众理解。建设“沂南政务小剧场”特色专栏，对于企业、群众关注度高、办理频次高的事项以卡通小视频、直播小课堂、长图文等形式制作高频事项易懂版办事指南、解读政策文件，将专业难懂的政策语言转变为贴近生活的“大白话”，打造沂南县首档“沉浸式”“全流程”易懂办事栏目，构建便捷、亲切、易懂的服务新模式。</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聚集“办前、办中、办后”，做好依申请公开办理。“办前”突出“便利性”，在沂南县人民政府网站显要位置标注依申请公开栏目，详细说明依申请公开须知和申请流程，提供15个乡镇27个部门线上政府信息公开申请。“办中”突出“规范性”，规范依申请公开办理流程，明确办理程序。制定依申请公开答复文书样板18个，推动办理答复规范化。“办后”突出“为民性”，建立依申请公开办理不定期抽访机制，及时了解申请人对答复满意情况，积极吸收采纳群众反馈的意见建议。对不属于政府信息范畴、申请信息不清晰的，及时与申请人联系沟通，做好解释工作。</w:t>
      </w:r>
    </w:p>
    <w:p>
      <w:pPr>
        <w:pStyle w:val="2"/>
        <w:keepNext w:val="0"/>
        <w:keepLines w:val="0"/>
        <w:pageBreakBefore w:val="0"/>
        <w:kinsoku/>
        <w:overflowPunct/>
        <w:topLinePunct w:val="0"/>
        <w:autoSpaceDE/>
        <w:autoSpaceDN/>
        <w:bidi w:val="0"/>
        <w:adjustRightInd/>
        <w:snapToGrid/>
        <w:spacing w:line="556" w:lineRule="exact"/>
        <w:ind w:firstLine="640" w:firstLineChars="200"/>
        <w:textAlignment w:val="auto"/>
        <w:outlineLvl w:val="9"/>
        <w:rPr>
          <w:rFonts w:hint="default" w:ascii="仿宋_GB2312" w:hAnsi="仿宋_GB2312" w:eastAsia="仿宋_GB2312" w:cs="仿宋_GB2312"/>
          <w:b w:val="0"/>
          <w:color w:val="auto"/>
          <w:kern w:val="0"/>
          <w:sz w:val="32"/>
          <w:szCs w:val="32"/>
          <w:lang w:val="en-US" w:eastAsia="zh-CN" w:bidi="ar"/>
        </w:rPr>
      </w:pPr>
      <w:r>
        <w:rPr>
          <w:rFonts w:hint="eastAsia" w:ascii="仿宋_GB2312" w:hAnsi="仿宋_GB2312" w:eastAsia="仿宋_GB2312" w:cs="仿宋_GB2312"/>
          <w:b w:val="0"/>
          <w:color w:val="auto"/>
          <w:kern w:val="0"/>
          <w:sz w:val="32"/>
          <w:szCs w:val="32"/>
          <w:lang w:val="en-US" w:eastAsia="zh-CN" w:bidi="ar"/>
        </w:rPr>
        <w:t>聚焦“线上、线下”，强化</w:t>
      </w:r>
      <w:bookmarkStart w:id="30" w:name="OLE_LINK7"/>
      <w:r>
        <w:rPr>
          <w:rFonts w:hint="eastAsia" w:ascii="仿宋_GB2312" w:hAnsi="仿宋_GB2312" w:eastAsia="仿宋_GB2312" w:cs="仿宋_GB2312"/>
          <w:b w:val="0"/>
          <w:color w:val="auto"/>
          <w:kern w:val="0"/>
          <w:sz w:val="32"/>
          <w:szCs w:val="32"/>
          <w:lang w:val="en-US" w:eastAsia="zh-CN" w:bidi="ar"/>
        </w:rPr>
        <w:t>公共企事业单位</w:t>
      </w:r>
      <w:bookmarkEnd w:id="30"/>
      <w:r>
        <w:rPr>
          <w:rFonts w:hint="eastAsia" w:ascii="仿宋_GB2312" w:hAnsi="仿宋_GB2312" w:eastAsia="仿宋_GB2312" w:cs="仿宋_GB2312"/>
          <w:b w:val="0"/>
          <w:color w:val="auto"/>
          <w:kern w:val="0"/>
          <w:sz w:val="32"/>
          <w:szCs w:val="32"/>
          <w:lang w:val="en-US" w:eastAsia="zh-CN" w:bidi="ar"/>
        </w:rPr>
        <w:t>信息公开。线上，调整优化公共企事业单位信息公开专栏，分领域编制公开目录，全县11家中小学、19家医疗机构、3家水气热企业、3家交通运输企业被纳入适用主体清单。2024年，围绕公共企事业单位便民服务事项，通过县政府网站发布信息1818条。线下，对公共企事业单位的信息公开、服务质量、收费标准、咨询投诉渠道等情况，开展实地抽查，倒逼单位提升服务透明度和效率。</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(五)本行政机关政府信息公开工作年度报告数据统计需要说明的事项</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olor w:val="auto"/>
          <w:kern w:val="2"/>
          <w:sz w:val="32"/>
          <w:szCs w:val="32"/>
          <w:lang w:val="en-US" w:eastAsia="zh-CN"/>
        </w:rPr>
        <w:t>1</w:t>
      </w:r>
      <w:r>
        <w:rPr>
          <w:rFonts w:ascii="Times New Roman" w:hAnsi="Times New Roman" w:eastAsia="仿宋_GB2312"/>
          <w:color w:val="auto"/>
          <w:kern w:val="2"/>
          <w:sz w:val="32"/>
          <w:szCs w:val="32"/>
        </w:rPr>
        <w:t>.</w:t>
      </w:r>
      <w:r>
        <w:rPr>
          <w:rFonts w:hint="eastAsia" w:ascii="仿宋_GB2312" w:hAnsi="仿宋_GB2312" w:eastAsia="仿宋_GB2312" w:cs="仿宋_GB2312"/>
          <w:color w:val="auto"/>
          <w:sz w:val="32"/>
          <w:szCs w:val="32"/>
          <w:lang w:val="en-US" w:eastAsia="zh-CN"/>
        </w:rPr>
        <w:t>本年度报告所列数据统计期限从2024年1月1日到2024年12月31日止。</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outlineLvl w:val="9"/>
        <w:rPr>
          <w:rFonts w:hint="eastAsia"/>
          <w:color w:val="auto"/>
          <w:lang w:val="en-US" w:eastAsia="zh-CN"/>
        </w:rPr>
      </w:pPr>
      <w:r>
        <w:rPr>
          <w:rFonts w:ascii="Times New Roman" w:hAnsi="Times New Roman" w:eastAsia="仿宋_GB2312"/>
          <w:color w:val="auto"/>
          <w:kern w:val="2"/>
          <w:sz w:val="32"/>
          <w:szCs w:val="32"/>
        </w:rPr>
        <w:t>2.行政许可数量、行政处罚和行政强制数量，包括已公开和依法未公开的全部处理决定。</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(六)本行政机关认为需要报告的其他事项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(七)其他有关文件专门要求通过政府信息公开工作年度报告予以报告的事项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无。</w:t>
      </w:r>
    </w:p>
    <w:sectPr>
      <w:footerReference r:id="rId3" w:type="default"/>
      <w:pgSz w:w="11906" w:h="16838"/>
      <w:pgMar w:top="1797" w:right="1474"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文星仿宋">
    <w:altName w:val="仿宋"/>
    <w:panose1 w:val="02010609000101010101"/>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文星仿宋" w:hAnsi="文星仿宋" w:eastAsia="文星仿宋" w:cs="文星仿宋"/>
                              <w:sz w:val="24"/>
                              <w:szCs w:val="24"/>
                            </w:rPr>
                            <w:fldChar w:fldCharType="begin"/>
                          </w:r>
                          <w:r>
                            <w:rPr>
                              <w:rFonts w:hint="eastAsia" w:ascii="文星仿宋" w:hAnsi="文星仿宋" w:eastAsia="文星仿宋" w:cs="文星仿宋"/>
                              <w:sz w:val="24"/>
                              <w:szCs w:val="24"/>
                            </w:rPr>
                            <w:instrText xml:space="preserve"> PAGE  \* MERGEFORMAT </w:instrText>
                          </w:r>
                          <w:r>
                            <w:rPr>
                              <w:rFonts w:hint="eastAsia" w:ascii="文星仿宋" w:hAnsi="文星仿宋" w:eastAsia="文星仿宋" w:cs="文星仿宋"/>
                              <w:sz w:val="24"/>
                              <w:szCs w:val="24"/>
                            </w:rPr>
                            <w:fldChar w:fldCharType="separate"/>
                          </w:r>
                          <w:r>
                            <w:rPr>
                              <w:rFonts w:ascii="文星仿宋" w:hAnsi="文星仿宋" w:eastAsia="文星仿宋" w:cs="文星仿宋"/>
                              <w:sz w:val="24"/>
                              <w:szCs w:val="24"/>
                            </w:rPr>
                            <w:t>- 2 -</w:t>
                          </w:r>
                          <w:r>
                            <w:rPr>
                              <w:rFonts w:hint="eastAsia" w:ascii="文星仿宋" w:hAnsi="文星仿宋" w:eastAsia="文星仿宋" w:cs="文星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文星仿宋" w:hAnsi="文星仿宋" w:eastAsia="文星仿宋" w:cs="文星仿宋"/>
                        <w:sz w:val="24"/>
                        <w:szCs w:val="24"/>
                      </w:rPr>
                      <w:fldChar w:fldCharType="begin"/>
                    </w:r>
                    <w:r>
                      <w:rPr>
                        <w:rFonts w:hint="eastAsia" w:ascii="文星仿宋" w:hAnsi="文星仿宋" w:eastAsia="文星仿宋" w:cs="文星仿宋"/>
                        <w:sz w:val="24"/>
                        <w:szCs w:val="24"/>
                      </w:rPr>
                      <w:instrText xml:space="preserve"> PAGE  \* MERGEFORMAT </w:instrText>
                    </w:r>
                    <w:r>
                      <w:rPr>
                        <w:rFonts w:hint="eastAsia" w:ascii="文星仿宋" w:hAnsi="文星仿宋" w:eastAsia="文星仿宋" w:cs="文星仿宋"/>
                        <w:sz w:val="24"/>
                        <w:szCs w:val="24"/>
                      </w:rPr>
                      <w:fldChar w:fldCharType="separate"/>
                    </w:r>
                    <w:r>
                      <w:rPr>
                        <w:rFonts w:ascii="文星仿宋" w:hAnsi="文星仿宋" w:eastAsia="文星仿宋" w:cs="文星仿宋"/>
                        <w:sz w:val="24"/>
                        <w:szCs w:val="24"/>
                      </w:rPr>
                      <w:t>- 2 -</w:t>
                    </w:r>
                    <w:r>
                      <w:rPr>
                        <w:rFonts w:hint="eastAsia" w:ascii="文星仿宋" w:hAnsi="文星仿宋" w:eastAsia="文星仿宋" w:cs="文星仿宋"/>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D1B0B"/>
    <w:multiLevelType w:val="multilevel"/>
    <w:tmpl w:val="5DAD1B0B"/>
    <w:lvl w:ilvl="0" w:tentative="0">
      <w:start w:val="1"/>
      <w:numFmt w:val="none"/>
      <w:lvlText w:val="%1"/>
      <w:lvlJc w:val="left"/>
      <w:pPr>
        <w:ind w:left="425" w:hanging="425"/>
      </w:pPr>
      <w:rPr>
        <w:rFonts w:hint="default" w:ascii="宋体" w:hAnsi="宋体" w:eastAsia="宋体" w:cs="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lang w:val="en-US"/>
      </w:rPr>
    </w:lvl>
    <w:lvl w:ilvl="3" w:tentative="0">
      <w:start w:val="1"/>
      <w:numFmt w:val="decimal"/>
      <w:lvlText w:val="%1.%2.%3.%4"/>
      <w:lvlJc w:val="left"/>
      <w:pPr>
        <w:ind w:left="850" w:hanging="708"/>
      </w:pPr>
      <w:rPr>
        <w:rFonts w:hint="eastAsia"/>
      </w:rPr>
    </w:lvl>
    <w:lvl w:ilvl="4" w:tentative="0">
      <w:start w:val="1"/>
      <w:numFmt w:val="decimal"/>
      <w:pStyle w:val="3"/>
      <w:lvlText w:val="%1.%2.%3.%4.%5"/>
      <w:lvlJc w:val="left"/>
      <w:pPr>
        <w:ind w:left="2551" w:hanging="850"/>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MzcyNTYzM2Y4MjE0OTBjZTg0ODViOWQ5YWU0OTMifQ=="/>
  </w:docVars>
  <w:rsids>
    <w:rsidRoot w:val="00507C46"/>
    <w:rsid w:val="001872D1"/>
    <w:rsid w:val="001A79B0"/>
    <w:rsid w:val="002E01C1"/>
    <w:rsid w:val="004E615F"/>
    <w:rsid w:val="00507C46"/>
    <w:rsid w:val="00633833"/>
    <w:rsid w:val="0074141D"/>
    <w:rsid w:val="009414B1"/>
    <w:rsid w:val="00A204A7"/>
    <w:rsid w:val="00EE6638"/>
    <w:rsid w:val="0151534C"/>
    <w:rsid w:val="01B42F43"/>
    <w:rsid w:val="021F7DC1"/>
    <w:rsid w:val="024E68F9"/>
    <w:rsid w:val="03174F3D"/>
    <w:rsid w:val="04A722F0"/>
    <w:rsid w:val="05125BAC"/>
    <w:rsid w:val="06B119B0"/>
    <w:rsid w:val="07E5385B"/>
    <w:rsid w:val="09880942"/>
    <w:rsid w:val="09A93800"/>
    <w:rsid w:val="0A081A83"/>
    <w:rsid w:val="0AE41BA8"/>
    <w:rsid w:val="0C691F96"/>
    <w:rsid w:val="0CC228C6"/>
    <w:rsid w:val="0E097B78"/>
    <w:rsid w:val="0F3320A6"/>
    <w:rsid w:val="0FE25160"/>
    <w:rsid w:val="0FFB70EE"/>
    <w:rsid w:val="1128686A"/>
    <w:rsid w:val="119A6593"/>
    <w:rsid w:val="11F05653"/>
    <w:rsid w:val="149B4B83"/>
    <w:rsid w:val="15256F94"/>
    <w:rsid w:val="15323E58"/>
    <w:rsid w:val="162639BD"/>
    <w:rsid w:val="165027E8"/>
    <w:rsid w:val="1694659D"/>
    <w:rsid w:val="16C94348"/>
    <w:rsid w:val="16E6314C"/>
    <w:rsid w:val="179D40F3"/>
    <w:rsid w:val="17A46FC8"/>
    <w:rsid w:val="19F32DFF"/>
    <w:rsid w:val="1A4712BC"/>
    <w:rsid w:val="1C0A51E7"/>
    <w:rsid w:val="1C275CD5"/>
    <w:rsid w:val="1D2B3667"/>
    <w:rsid w:val="1D7A639C"/>
    <w:rsid w:val="1D9A17D6"/>
    <w:rsid w:val="1DC6338F"/>
    <w:rsid w:val="1E2D340E"/>
    <w:rsid w:val="1E8E20FF"/>
    <w:rsid w:val="1EA77665"/>
    <w:rsid w:val="1ED363BE"/>
    <w:rsid w:val="1FF31356"/>
    <w:rsid w:val="2091237A"/>
    <w:rsid w:val="20E029BA"/>
    <w:rsid w:val="21076199"/>
    <w:rsid w:val="210F2B4E"/>
    <w:rsid w:val="221E379A"/>
    <w:rsid w:val="22350FE7"/>
    <w:rsid w:val="22900E2F"/>
    <w:rsid w:val="23294AEC"/>
    <w:rsid w:val="238928E8"/>
    <w:rsid w:val="24BB5C18"/>
    <w:rsid w:val="25F82554"/>
    <w:rsid w:val="2751016E"/>
    <w:rsid w:val="29B3798C"/>
    <w:rsid w:val="29CD4916"/>
    <w:rsid w:val="2A5E7215"/>
    <w:rsid w:val="2AFE23BA"/>
    <w:rsid w:val="2BD001FB"/>
    <w:rsid w:val="2C184349"/>
    <w:rsid w:val="2C7469A6"/>
    <w:rsid w:val="2CBB6EF5"/>
    <w:rsid w:val="2CD71115"/>
    <w:rsid w:val="2DD41AF8"/>
    <w:rsid w:val="2F884949"/>
    <w:rsid w:val="30E402A4"/>
    <w:rsid w:val="30F524B2"/>
    <w:rsid w:val="315B1DC0"/>
    <w:rsid w:val="32E53E60"/>
    <w:rsid w:val="33462B51"/>
    <w:rsid w:val="348B701E"/>
    <w:rsid w:val="35A818A1"/>
    <w:rsid w:val="36A4475E"/>
    <w:rsid w:val="371F3DE4"/>
    <w:rsid w:val="37C404E8"/>
    <w:rsid w:val="38080D1C"/>
    <w:rsid w:val="38F60B75"/>
    <w:rsid w:val="39C12F31"/>
    <w:rsid w:val="3A2B63D4"/>
    <w:rsid w:val="3A3F46E7"/>
    <w:rsid w:val="3ACF062B"/>
    <w:rsid w:val="3B7D37CF"/>
    <w:rsid w:val="3BB217AE"/>
    <w:rsid w:val="3BF55114"/>
    <w:rsid w:val="3C100AFF"/>
    <w:rsid w:val="3C37572C"/>
    <w:rsid w:val="3C734878"/>
    <w:rsid w:val="3DFE29C8"/>
    <w:rsid w:val="3E646581"/>
    <w:rsid w:val="3EA132AC"/>
    <w:rsid w:val="40E44C19"/>
    <w:rsid w:val="40FB141E"/>
    <w:rsid w:val="41CA2D55"/>
    <w:rsid w:val="42711572"/>
    <w:rsid w:val="42D83780"/>
    <w:rsid w:val="434075BC"/>
    <w:rsid w:val="447F5EC2"/>
    <w:rsid w:val="4481756C"/>
    <w:rsid w:val="453A76D0"/>
    <w:rsid w:val="46FF68E4"/>
    <w:rsid w:val="4766336A"/>
    <w:rsid w:val="48263A21"/>
    <w:rsid w:val="482F57A0"/>
    <w:rsid w:val="48BF2D31"/>
    <w:rsid w:val="48DD765B"/>
    <w:rsid w:val="491F44BD"/>
    <w:rsid w:val="498B70B7"/>
    <w:rsid w:val="49A01F26"/>
    <w:rsid w:val="49CC5F54"/>
    <w:rsid w:val="4A4E6A63"/>
    <w:rsid w:val="4A5B4CDC"/>
    <w:rsid w:val="4B3774F7"/>
    <w:rsid w:val="4BC80D70"/>
    <w:rsid w:val="4BF73769"/>
    <w:rsid w:val="4C3752D5"/>
    <w:rsid w:val="4C433C79"/>
    <w:rsid w:val="4C71266F"/>
    <w:rsid w:val="4C912C37"/>
    <w:rsid w:val="4D3E7AAF"/>
    <w:rsid w:val="4D8F23FA"/>
    <w:rsid w:val="4E7E3317"/>
    <w:rsid w:val="4EAA34B4"/>
    <w:rsid w:val="4EAA6232"/>
    <w:rsid w:val="4FC00249"/>
    <w:rsid w:val="4FD03A76"/>
    <w:rsid w:val="50C6140A"/>
    <w:rsid w:val="50D11BD6"/>
    <w:rsid w:val="50F02F01"/>
    <w:rsid w:val="510F4A72"/>
    <w:rsid w:val="52537BA2"/>
    <w:rsid w:val="525B02D4"/>
    <w:rsid w:val="53204D14"/>
    <w:rsid w:val="53BC1EB7"/>
    <w:rsid w:val="53DD181C"/>
    <w:rsid w:val="5486329D"/>
    <w:rsid w:val="567C785C"/>
    <w:rsid w:val="57C661A5"/>
    <w:rsid w:val="585978B9"/>
    <w:rsid w:val="597731B4"/>
    <w:rsid w:val="59B166C6"/>
    <w:rsid w:val="5A490FF5"/>
    <w:rsid w:val="5A4C63EF"/>
    <w:rsid w:val="5B8147BE"/>
    <w:rsid w:val="5BD20B76"/>
    <w:rsid w:val="5C3B2E32"/>
    <w:rsid w:val="5D27249D"/>
    <w:rsid w:val="5D6353CF"/>
    <w:rsid w:val="5DC95105"/>
    <w:rsid w:val="5DDB1F64"/>
    <w:rsid w:val="5E0A2849"/>
    <w:rsid w:val="5EA66A16"/>
    <w:rsid w:val="5F4D54D9"/>
    <w:rsid w:val="60FD6695"/>
    <w:rsid w:val="610861C4"/>
    <w:rsid w:val="626F2D37"/>
    <w:rsid w:val="62A051EE"/>
    <w:rsid w:val="632609B2"/>
    <w:rsid w:val="637644DD"/>
    <w:rsid w:val="63D062E3"/>
    <w:rsid w:val="659B34CD"/>
    <w:rsid w:val="66D47026"/>
    <w:rsid w:val="67DA328C"/>
    <w:rsid w:val="68B65AA7"/>
    <w:rsid w:val="68EF39C7"/>
    <w:rsid w:val="69F369EC"/>
    <w:rsid w:val="6A537326"/>
    <w:rsid w:val="6AB129BF"/>
    <w:rsid w:val="6AD63D5B"/>
    <w:rsid w:val="6AE82164"/>
    <w:rsid w:val="6B4C6733"/>
    <w:rsid w:val="6B6932A5"/>
    <w:rsid w:val="6C7F4967"/>
    <w:rsid w:val="6DDB5FB0"/>
    <w:rsid w:val="6F4162E7"/>
    <w:rsid w:val="6FB40867"/>
    <w:rsid w:val="70A66401"/>
    <w:rsid w:val="71A753AC"/>
    <w:rsid w:val="71B903B6"/>
    <w:rsid w:val="72C07522"/>
    <w:rsid w:val="73852C46"/>
    <w:rsid w:val="73C10EE8"/>
    <w:rsid w:val="7435488E"/>
    <w:rsid w:val="74FC5D76"/>
    <w:rsid w:val="75B109F4"/>
    <w:rsid w:val="76004806"/>
    <w:rsid w:val="76197675"/>
    <w:rsid w:val="76992564"/>
    <w:rsid w:val="770519A8"/>
    <w:rsid w:val="77732DB5"/>
    <w:rsid w:val="77FF1415"/>
    <w:rsid w:val="78FB39EA"/>
    <w:rsid w:val="79815C5D"/>
    <w:rsid w:val="7C981975"/>
    <w:rsid w:val="7CF6426C"/>
    <w:rsid w:val="7D3E79C1"/>
    <w:rsid w:val="7D955C74"/>
    <w:rsid w:val="7DC6323C"/>
    <w:rsid w:val="7DFD162B"/>
    <w:rsid w:val="7E002EC9"/>
    <w:rsid w:val="7E5751DF"/>
    <w:rsid w:val="7EE14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5"/>
    <w:basedOn w:val="1"/>
    <w:next w:val="1"/>
    <w:qFormat/>
    <w:uiPriority w:val="0"/>
    <w:pPr>
      <w:keepNext/>
      <w:keepLines/>
      <w:numPr>
        <w:ilvl w:val="4"/>
        <w:numId w:val="1"/>
      </w:numPr>
      <w:ind w:left="2551" w:hanging="850"/>
      <w:outlineLvl w:val="4"/>
    </w:pPr>
    <w:rPr>
      <w:b/>
      <w:bCs/>
      <w:dstrike/>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rFonts w:ascii="仿宋" w:hAnsi="仿宋" w:eastAsia="仿宋" w:cs="Times New Roman"/>
      <w:b/>
      <w:color w:val="000000"/>
      <w:sz w:val="28"/>
      <w:szCs w:val="28"/>
    </w:rPr>
  </w:style>
  <w:style w:type="paragraph" w:styleId="4">
    <w:name w:val="Normal Indent"/>
    <w:basedOn w:val="1"/>
    <w:qFormat/>
    <w:uiPriority w:val="0"/>
    <w:pPr>
      <w:ind w:firstLine="420" w:firstLineChars="200"/>
    </w:pPr>
    <w:rPr>
      <w:rFonts w:eastAsia="仿宋"/>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5"/>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Other|1"/>
    <w:basedOn w:val="1"/>
    <w:qFormat/>
    <w:uiPriority w:val="0"/>
    <w:pPr>
      <w:spacing w:line="442" w:lineRule="auto"/>
      <w:ind w:firstLine="400"/>
    </w:pPr>
    <w:rPr>
      <w:rFonts w:ascii="宋体" w:hAnsi="宋体" w:eastAsia="宋体"/>
      <w:sz w:val="28"/>
      <w:szCs w:val="28"/>
      <w:lang w:val="zh-TW" w:eastAsia="zh-TW"/>
    </w:rPr>
  </w:style>
  <w:style w:type="paragraph" w:customStyle="1" w:styleId="18">
    <w:name w:val="Other|2"/>
    <w:basedOn w:val="1"/>
    <w:qFormat/>
    <w:uiPriority w:val="0"/>
    <w:pPr>
      <w:spacing w:before="90"/>
      <w:jc w:val="center"/>
    </w:pPr>
    <w:rPr>
      <w:rFonts w:ascii="宋体" w:hAnsi="宋体" w:eastAsia="宋体"/>
      <w:sz w:val="20"/>
      <w:szCs w:val="20"/>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2809</Words>
  <Characters>3020</Characters>
  <Lines>18</Lines>
  <Paragraphs>5</Paragraphs>
  <TotalTime>59</TotalTime>
  <ScaleCrop>false</ScaleCrop>
  <LinksUpToDate>false</LinksUpToDate>
  <CharactersWithSpaces>3059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2023-01-17T00:47:00Z</dcterms:created>
  <dc:creator>姜大贝</dc:creator>
  <cp:lastModifiedBy>七月上</cp:lastModifiedBy>
  <dcterms:modified xsi:type="dcterms:W3CDTF">2025-02-14T02:49:33Z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D05DA325B0F2495E84B177AB4ACA9DD5_13</vt:lpwstr>
  </property>
</Properties>
</file>